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42D84F" w14:textId="77777777" w:rsidR="00D11455" w:rsidRDefault="00D11455" w:rsidP="00D11455">
      <w:pPr>
        <w:ind w:left="720" w:hanging="360"/>
      </w:pPr>
      <w:r>
        <w:rPr>
          <w:noProof/>
          <w:lang w:eastAsia="nl-BE"/>
        </w:rPr>
        <w:drawing>
          <wp:anchor distT="0" distB="0" distL="114300" distR="114300" simplePos="0" relativeHeight="487599104" behindDoc="1" locked="0" layoutInCell="1" allowOverlap="1" wp14:anchorId="295EAAA4" wp14:editId="2FC5269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41710F24" w14:textId="0E8A5EB2" w:rsidR="00D11455" w:rsidRPr="00A350BF" w:rsidRDefault="00D11455" w:rsidP="00D11455">
      <w:pPr>
        <w:pStyle w:val="Lijstalinea"/>
        <w:widowControl/>
        <w:numPr>
          <w:ilvl w:val="0"/>
          <w:numId w:val="2"/>
        </w:numPr>
        <w:autoSpaceDE/>
        <w:autoSpaceDN/>
        <w:spacing w:after="160" w:line="259" w:lineRule="auto"/>
        <w:contextualSpacing/>
      </w:pPr>
      <w:proofErr w:type="spellStart"/>
      <w:r w:rsidRPr="00D11455">
        <w:rPr>
          <w:b/>
          <w:bCs/>
          <w:sz w:val="40"/>
          <w:szCs w:val="40"/>
        </w:rPr>
        <w:t>Opdrachten</w:t>
      </w:r>
      <w:proofErr w:type="spellEnd"/>
      <w:r w:rsidRPr="00D11455">
        <w:rPr>
          <w:b/>
          <w:bCs/>
          <w:sz w:val="40"/>
          <w:szCs w:val="40"/>
        </w:rPr>
        <w:t xml:space="preserve"> </w:t>
      </w:r>
      <w:proofErr w:type="spellStart"/>
      <w:r>
        <w:rPr>
          <w:b/>
          <w:bCs/>
          <w:sz w:val="40"/>
          <w:szCs w:val="40"/>
        </w:rPr>
        <w:t>Libretext</w:t>
      </w:r>
      <w:proofErr w:type="spellEnd"/>
    </w:p>
    <w:p w14:paraId="4FC8AB66" w14:textId="4B433B32" w:rsidR="00D11455" w:rsidRDefault="00D11455">
      <w:pPr>
        <w:pStyle w:val="Titel"/>
        <w:rPr>
          <w:rFonts w:asciiTheme="minorHAnsi" w:hAnsiTheme="minorHAnsi" w:cstheme="minorHAnsi"/>
          <w:sz w:val="24"/>
          <w:szCs w:val="24"/>
          <w:lang w:val="nl-BE"/>
        </w:rPr>
      </w:pPr>
      <w:r w:rsidRPr="00D11455">
        <w:rPr>
          <w:rFonts w:asciiTheme="minorHAnsi" w:hAnsiTheme="minorHAnsi" w:cstheme="minorHAnsi"/>
          <w:sz w:val="24"/>
          <w:szCs w:val="24"/>
          <w:lang w:val="nl-BE"/>
        </w:rPr>
        <w:t>Opdracht: Neem de volledige t</w:t>
      </w:r>
      <w:r>
        <w:rPr>
          <w:rFonts w:asciiTheme="minorHAnsi" w:hAnsiTheme="minorHAnsi" w:cstheme="minorHAnsi"/>
          <w:sz w:val="24"/>
          <w:szCs w:val="24"/>
          <w:lang w:val="nl-BE"/>
        </w:rPr>
        <w:t>ekst door.</w:t>
      </w:r>
    </w:p>
    <w:p w14:paraId="387CC4A5" w14:textId="5F6E5108" w:rsidR="00D11455" w:rsidRDefault="00D11455">
      <w:pPr>
        <w:pStyle w:val="Titel"/>
        <w:rPr>
          <w:rFonts w:asciiTheme="minorHAnsi" w:hAnsiTheme="minorHAnsi" w:cstheme="minorHAnsi"/>
          <w:sz w:val="24"/>
          <w:szCs w:val="24"/>
          <w:lang w:val="nl-BE"/>
        </w:rPr>
      </w:pPr>
      <w:r>
        <w:rPr>
          <w:rFonts w:asciiTheme="minorHAnsi" w:hAnsiTheme="minorHAnsi" w:cstheme="minorHAnsi"/>
          <w:sz w:val="24"/>
          <w:szCs w:val="24"/>
          <w:lang w:val="nl-BE"/>
        </w:rPr>
        <w:t>-Maak een samenvatting waarbij in een tabel de mogelijke intermoleculaire krachten naast elkaar staan.</w:t>
      </w:r>
    </w:p>
    <w:p w14:paraId="56D79F21" w14:textId="7F343503" w:rsidR="00D11455" w:rsidRDefault="00D11455">
      <w:pPr>
        <w:pStyle w:val="Titel"/>
        <w:rPr>
          <w:rFonts w:asciiTheme="minorHAnsi" w:hAnsiTheme="minorHAnsi" w:cstheme="minorHAnsi"/>
          <w:sz w:val="24"/>
          <w:szCs w:val="24"/>
          <w:lang w:val="nl-BE"/>
        </w:rPr>
      </w:pPr>
      <w:r>
        <w:rPr>
          <w:rFonts w:asciiTheme="minorHAnsi" w:hAnsiTheme="minorHAnsi" w:cstheme="minorHAnsi"/>
          <w:sz w:val="24"/>
          <w:szCs w:val="24"/>
          <w:lang w:val="nl-BE"/>
        </w:rPr>
        <w:t xml:space="preserve">-Maak een lijstje van alle stoffen die zijn opgenomen in de tekst. Duid aan wat de intermoleculaire kracht bij al deze stoffen is. </w:t>
      </w:r>
    </w:p>
    <w:p w14:paraId="2C1374EF" w14:textId="1809C3F9" w:rsidR="00D11455" w:rsidRDefault="00D11455">
      <w:pPr>
        <w:pStyle w:val="Titel"/>
        <w:rPr>
          <w:rFonts w:asciiTheme="minorHAnsi" w:hAnsiTheme="minorHAnsi" w:cstheme="minorHAnsi"/>
          <w:sz w:val="24"/>
          <w:szCs w:val="24"/>
          <w:lang w:val="nl-BE"/>
        </w:rPr>
      </w:pPr>
      <w:r>
        <w:rPr>
          <w:rFonts w:asciiTheme="minorHAnsi" w:hAnsiTheme="minorHAnsi" w:cstheme="minorHAnsi"/>
          <w:sz w:val="24"/>
          <w:szCs w:val="24"/>
          <w:lang w:val="nl-BE"/>
        </w:rPr>
        <w:t xml:space="preserve">-Maak een lijst van alle nieuwe begrippen en geef de definitie of omschrijving ervan die je in de tekst terugvindt. </w:t>
      </w:r>
    </w:p>
    <w:p w14:paraId="65E05F55" w14:textId="2104BF55" w:rsidR="00D11455" w:rsidRPr="00D11455" w:rsidRDefault="00D11455">
      <w:pPr>
        <w:pStyle w:val="Titel"/>
        <w:rPr>
          <w:rFonts w:asciiTheme="minorHAnsi" w:hAnsiTheme="minorHAnsi" w:cstheme="minorHAnsi"/>
          <w:sz w:val="24"/>
          <w:szCs w:val="24"/>
          <w:lang w:val="nl-BE"/>
        </w:rPr>
      </w:pPr>
      <w:r>
        <w:rPr>
          <w:rFonts w:asciiTheme="minorHAnsi" w:hAnsiTheme="minorHAnsi" w:cstheme="minorHAnsi"/>
          <w:sz w:val="24"/>
          <w:szCs w:val="24"/>
          <w:lang w:val="nl-BE"/>
        </w:rPr>
        <w:t>OPM: Het energetisch aspect bij de intermoleculaire krachten laat je achterwegen.</w:t>
      </w:r>
    </w:p>
    <w:p w14:paraId="0323AA24" w14:textId="77777777" w:rsidR="00D11455" w:rsidRPr="00D11455" w:rsidRDefault="00D11455">
      <w:pPr>
        <w:pStyle w:val="Titel"/>
        <w:rPr>
          <w:lang w:val="nl-BE"/>
        </w:rPr>
      </w:pPr>
    </w:p>
    <w:p w14:paraId="15589FBC" w14:textId="60644E7B" w:rsidR="000A5135" w:rsidRPr="009A4532" w:rsidRDefault="000D0B1F">
      <w:pPr>
        <w:pStyle w:val="Titel"/>
        <w:rPr>
          <w:lang w:val="nl-BE"/>
        </w:rPr>
      </w:pPr>
      <w:r>
        <w:rPr>
          <w:noProof/>
        </w:rPr>
        <mc:AlternateContent>
          <mc:Choice Requires="wps">
            <w:drawing>
              <wp:anchor distT="0" distB="0" distL="0" distR="0" simplePos="0" relativeHeight="487587840" behindDoc="1" locked="0" layoutInCell="1" allowOverlap="1" wp14:anchorId="2D488C57" wp14:editId="533CC3A4">
                <wp:simplePos x="0" y="0"/>
                <wp:positionH relativeFrom="page">
                  <wp:posOffset>666749</wp:posOffset>
                </wp:positionH>
                <wp:positionV relativeFrom="paragraph">
                  <wp:posOffset>365819</wp:posOffset>
                </wp:positionV>
                <wp:extent cx="6438900" cy="9525"/>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38900" cy="9525"/>
                        </a:xfrm>
                        <a:custGeom>
                          <a:avLst/>
                          <a:gdLst/>
                          <a:ahLst/>
                          <a:cxnLst/>
                          <a:rect l="l" t="t" r="r" b="b"/>
                          <a:pathLst>
                            <a:path w="6438900" h="9525">
                              <a:moveTo>
                                <a:pt x="6438899" y="9524"/>
                              </a:moveTo>
                              <a:lnTo>
                                <a:pt x="0" y="9524"/>
                              </a:lnTo>
                              <a:lnTo>
                                <a:pt x="0" y="0"/>
                              </a:lnTo>
                              <a:lnTo>
                                <a:pt x="6438899" y="0"/>
                              </a:lnTo>
                              <a:lnTo>
                                <a:pt x="6438899" y="9524"/>
                              </a:lnTo>
                              <a:close/>
                            </a:path>
                          </a:pathLst>
                        </a:custGeom>
                        <a:solidFill>
                          <a:srgbClr val="DDDDDD"/>
                        </a:solidFill>
                      </wps:spPr>
                      <wps:bodyPr wrap="square" lIns="0" tIns="0" rIns="0" bIns="0" rtlCol="0">
                        <a:prstTxWarp prst="textNoShape">
                          <a:avLst/>
                        </a:prstTxWarp>
                        <a:noAutofit/>
                      </wps:bodyPr>
                    </wps:wsp>
                  </a:graphicData>
                </a:graphic>
              </wp:anchor>
            </w:drawing>
          </mc:Choice>
          <mc:Fallback>
            <w:pict>
              <v:shape w14:anchorId="40BB8AC5" id="Graphic 5" o:spid="_x0000_s1026" style="position:absolute;margin-left:52.5pt;margin-top:28.8pt;width:507pt;height:.75pt;z-index:-15728640;visibility:visible;mso-wrap-style:square;mso-wrap-distance-left:0;mso-wrap-distance-top:0;mso-wrap-distance-right:0;mso-wrap-distance-bottom:0;mso-position-horizontal:absolute;mso-position-horizontal-relative:page;mso-position-vertical:absolute;mso-position-vertical-relative:text;v-text-anchor:top" coordsize="643890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" path="m6438899,9524l,9524,,,6438899,r,9524xe" fillcolor="#ddd" stroked="f">
                <v:path arrowok="t"/>
                <w10:wrap type="topAndBottom" anchorx="page"/>
              </v:shape>
            </w:pict>
          </mc:Fallback>
        </mc:AlternateContent>
      </w:r>
      <w:hyperlink r:id="rId8">
        <w:r w:rsidRPr="009A4532">
          <w:rPr>
            <w:color w:val="0372A6"/>
            <w:lang w:val="nl-BE"/>
          </w:rPr>
          <w:t xml:space="preserve"> Intermoleculaire krachten</w:t>
        </w:r>
      </w:hyperlink>
    </w:p>
    <w:p w14:paraId="03F4A7A6" w14:textId="77777777" w:rsidR="000A5135" w:rsidRPr="009A4532" w:rsidRDefault="000A5135">
      <w:pPr>
        <w:pStyle w:val="Plattetekst"/>
        <w:spacing w:before="4"/>
        <w:rPr>
          <w:rFonts w:ascii="Arial MT"/>
          <w:sz w:val="8"/>
          <w:lang w:val="nl-BE"/>
        </w:rPr>
      </w:pPr>
    </w:p>
    <w:p w14:paraId="5BD02F32" w14:textId="77777777" w:rsidR="000A5135" w:rsidRPr="009A4532" w:rsidRDefault="000D0B1F">
      <w:pPr>
        <w:pStyle w:val="Plattetekst"/>
        <w:spacing w:before="152" w:line="280" w:lineRule="auto"/>
        <w:ind w:left="335" w:right="335"/>
        <w:jc w:val="both"/>
        <w:rPr>
          <w:lang w:val="nl-BE"/>
        </w:rPr>
      </w:pPr>
      <w:r w:rsidRPr="009A4532">
        <w:rPr>
          <w:lang w:val="nl-BE"/>
        </w:rPr>
        <w:t xml:space="preserve">Zoals het geval was voor gasvormige stoffen, kan de kinetische moleculaire theorie worden gebruikt om het gedrag van vaste stoffen en vloeistoffen te verklaren. In de volgende beschrijving wordt de term </w:t>
      </w:r>
      <w:r w:rsidRPr="009A4532">
        <w:rPr>
          <w:i/>
          <w:lang w:val="nl-BE"/>
        </w:rPr>
        <w:t xml:space="preserve">deeltje </w:t>
      </w:r>
      <w:r w:rsidRPr="009A4532">
        <w:rPr>
          <w:lang w:val="nl-BE"/>
        </w:rPr>
        <w:t>gebruikt om te verwijzen naar een atoom, molecuul of ion. Merk op dat we de populaire uitdrukking "intermoleculaire aantrekkingskracht" zullen gebruiken om te verwijzen naar aantrekkingskrachten tussen de deeltjes van een stof, ongeacht of deze deeltjes moleculen, atomen of ionen zijn.</w:t>
      </w:r>
    </w:p>
    <w:p w14:paraId="5CAF6B3A" w14:textId="77777777" w:rsidR="000A5135" w:rsidRPr="009A4532" w:rsidRDefault="000D0B1F">
      <w:pPr>
        <w:pStyle w:val="Plattetekst"/>
        <w:spacing w:before="88"/>
        <w:ind w:left="335"/>
        <w:jc w:val="both"/>
        <w:rPr>
          <w:lang w:val="nl-BE"/>
        </w:rPr>
      </w:pPr>
      <w:r w:rsidRPr="009A4532">
        <w:rPr>
          <w:lang w:val="nl-BE"/>
        </w:rPr>
        <w:t>Beschouw deze twee aspecten van de omgevingen op moleculair niveau in vaste, vloeibare en gasvormige stoffen:</w:t>
      </w:r>
    </w:p>
    <w:p w14:paraId="50B176A5" w14:textId="77777777" w:rsidR="000A5135" w:rsidRPr="009A4532" w:rsidRDefault="000D0B1F">
      <w:pPr>
        <w:pStyle w:val="Plattetekst"/>
        <w:spacing w:before="141" w:line="280" w:lineRule="auto"/>
        <w:ind w:left="604" w:hanging="215"/>
        <w:rPr>
          <w:lang w:val="nl-BE"/>
        </w:rPr>
      </w:pPr>
      <w:r>
        <w:rPr>
          <w:noProof/>
          <w:position w:val="2"/>
        </w:rPr>
        <w:drawing>
          <wp:inline distT="0" distB="0" distL="0" distR="0" wp14:anchorId="4795942E" wp14:editId="5062956E">
            <wp:extent cx="38100" cy="38099"/>
            <wp:effectExtent l="0" t="0" r="0" b="0"/>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9" cstate="print"/>
                    <a:stretch>
                      <a:fillRect/>
                    </a:stretch>
                  </pic:blipFill>
                  <pic:spPr>
                    <a:xfrm>
                      <a:off x="0" y="0"/>
                      <a:ext cx="38100" cy="38099"/>
                    </a:xfrm>
                    <a:prstGeom prst="rect">
                      <a:avLst/>
                    </a:prstGeom>
                  </pic:spPr>
                </pic:pic>
              </a:graphicData>
            </a:graphic>
          </wp:inline>
        </w:drawing>
      </w:r>
      <w:r w:rsidRPr="009A4532">
        <w:rPr>
          <w:spacing w:val="80"/>
          <w:sz w:val="20"/>
          <w:lang w:val="nl-BE"/>
        </w:rPr>
        <w:t xml:space="preserve"> </w:t>
      </w:r>
      <w:r w:rsidRPr="009A4532">
        <w:rPr>
          <w:lang w:val="nl-BE"/>
        </w:rPr>
        <w:t>Deeltjes in een vaste stof zijn dicht opeengepakt en vaak gerangschikt in een regelmatig patroon; in een vloeistof staan ze dicht bij elkaar zonder regelmatige opstelling; In een gas staan ze ver uit elkaar en hebben ze geen regelmatige opstelling.</w:t>
      </w:r>
    </w:p>
    <w:p w14:paraId="43218B55" w14:textId="77777777" w:rsidR="000A5135" w:rsidRPr="009A4532" w:rsidRDefault="000D0B1F">
      <w:pPr>
        <w:pStyle w:val="Plattetekst"/>
        <w:spacing w:line="280" w:lineRule="auto"/>
        <w:ind w:left="604" w:right="501" w:hanging="215"/>
        <w:rPr>
          <w:lang w:val="nl-BE"/>
        </w:rPr>
      </w:pPr>
      <w:r>
        <w:rPr>
          <w:noProof/>
          <w:position w:val="2"/>
        </w:rPr>
        <w:drawing>
          <wp:inline distT="0" distB="0" distL="0" distR="0" wp14:anchorId="710B8C4D" wp14:editId="63126307">
            <wp:extent cx="38100" cy="38099"/>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9" cstate="print"/>
                    <a:stretch>
                      <a:fillRect/>
                    </a:stretch>
                  </pic:blipFill>
                  <pic:spPr>
                    <a:xfrm>
                      <a:off x="0" y="0"/>
                      <a:ext cx="38100" cy="38099"/>
                    </a:xfrm>
                    <a:prstGeom prst="rect">
                      <a:avLst/>
                    </a:prstGeom>
                  </pic:spPr>
                </pic:pic>
              </a:graphicData>
            </a:graphic>
          </wp:inline>
        </w:drawing>
      </w:r>
      <w:r w:rsidRPr="009A4532">
        <w:rPr>
          <w:spacing w:val="80"/>
          <w:w w:val="150"/>
          <w:sz w:val="20"/>
          <w:lang w:val="nl-BE"/>
        </w:rPr>
        <w:t xml:space="preserve"> </w:t>
      </w:r>
      <w:r w:rsidRPr="009A4532">
        <w:rPr>
          <w:lang w:val="nl-BE"/>
        </w:rPr>
        <w:t>Deeltjes in een vaste stof trillen rond vaste posities en bewegen over het algemeen niet ten opzichte van elkaar; In een vloeistof bewegen ze langs elkaar heen, maar blijven ze in wezen constant in contact; In een gas bewegen ze onafhankelijk van elkaar, behalve wanneer ze botsen.</w:t>
      </w:r>
    </w:p>
    <w:p w14:paraId="78EB0B3A" w14:textId="77777777" w:rsidR="000A5135" w:rsidRPr="009A4532" w:rsidRDefault="000D0B1F">
      <w:pPr>
        <w:pStyle w:val="Plattetekst"/>
        <w:spacing w:before="87" w:line="278" w:lineRule="auto"/>
        <w:ind w:left="335" w:right="335"/>
        <w:jc w:val="both"/>
        <w:rPr>
          <w:lang w:val="nl-BE"/>
        </w:rPr>
      </w:pPr>
      <w:r w:rsidRPr="009A4532">
        <w:rPr>
          <w:lang w:val="nl-BE"/>
        </w:rPr>
        <w:t xml:space="preserve">De verschillen in de eigenschappen van een vaste stof, vloeistof of gas weerspiegelen de sterkte van de aantrekkingskrachten tussen de atomen, moleculen of ionen waaruit elke fase bestaat. De fase waarin een stof bestaat, hangt af van de relatieve omvang van zijn </w:t>
      </w:r>
      <w:r w:rsidRPr="009A4532">
        <w:rPr>
          <w:b/>
          <w:lang w:val="nl-BE"/>
        </w:rPr>
        <w:t xml:space="preserve">intermoleculaire krachten </w:t>
      </w:r>
      <w:r w:rsidRPr="009A4532">
        <w:rPr>
          <w:lang w:val="nl-BE"/>
        </w:rPr>
        <w:t>(</w:t>
      </w:r>
      <w:proofErr w:type="spellStart"/>
      <w:r w:rsidRPr="009A4532">
        <w:rPr>
          <w:lang w:val="nl-BE"/>
        </w:rPr>
        <w:t>IMF's</w:t>
      </w:r>
      <w:proofErr w:type="spellEnd"/>
      <w:r w:rsidRPr="009A4532">
        <w:rPr>
          <w:lang w:val="nl-BE"/>
        </w:rPr>
        <w:t xml:space="preserve">) en de kinetische energieën (KE) van zijn moleculen. </w:t>
      </w:r>
      <w:proofErr w:type="spellStart"/>
      <w:r w:rsidRPr="009A4532">
        <w:rPr>
          <w:lang w:val="nl-BE"/>
        </w:rPr>
        <w:t>IMF's</w:t>
      </w:r>
      <w:proofErr w:type="spellEnd"/>
      <w:r w:rsidRPr="009A4532">
        <w:rPr>
          <w:lang w:val="nl-BE"/>
        </w:rPr>
        <w:t xml:space="preserve"> zijn de verschillende aantrekkingskrachten die kunnen bestaan tussen de atomen en moleculen van een stof als gevolg van elektrostatische verschijnselen, zoals in deze module zal worden beschreven. Deze krachten dienen om deeltjes dicht bij elkaar te houden, terwijl de KE van de deeltjes de energie levert die nodig is om de aantrekkingskrachten te overwinnen en zo de afstand tussen de deeltjes te vergroten. Figuur </w:t>
      </w:r>
      <w:r w:rsidRPr="009A4532">
        <w:rPr>
          <w:sz w:val="20"/>
          <w:lang w:val="nl-BE"/>
        </w:rPr>
        <w:t xml:space="preserve">7.2.1 </w:t>
      </w:r>
      <w:r w:rsidRPr="009A4532">
        <w:rPr>
          <w:lang w:val="nl-BE"/>
        </w:rPr>
        <w:t>illustreert hoe veranderingen in de fysische toestand kunnen worden veroorzaakt door verandering van de temperatuur, en dus de gemiddelde KE, van een bepaalde stof.</w:t>
      </w:r>
    </w:p>
    <w:p w14:paraId="6C1A979E" w14:textId="77777777" w:rsidR="000A5135" w:rsidRPr="009A4532" w:rsidRDefault="000D0B1F">
      <w:pPr>
        <w:pStyle w:val="Plattetekst"/>
        <w:spacing w:before="1"/>
        <w:rPr>
          <w:sz w:val="11"/>
          <w:lang w:val="nl-BE"/>
        </w:rPr>
      </w:pPr>
      <w:r>
        <w:rPr>
          <w:noProof/>
          <w:sz w:val="11"/>
        </w:rPr>
        <w:lastRenderedPageBreak/>
        <w:drawing>
          <wp:anchor distT="0" distB="0" distL="0" distR="0" simplePos="0" relativeHeight="487588864" behindDoc="1" locked="0" layoutInCell="1" allowOverlap="1" wp14:anchorId="536DE386" wp14:editId="39BE7FAB">
            <wp:simplePos x="0" y="0"/>
            <wp:positionH relativeFrom="page">
              <wp:posOffset>1848211</wp:posOffset>
            </wp:positionH>
            <wp:positionV relativeFrom="paragraph">
              <wp:posOffset>96744</wp:posOffset>
            </wp:positionV>
            <wp:extent cx="4084974" cy="2260854"/>
            <wp:effectExtent l="0" t="0" r="0" b="0"/>
            <wp:wrapTopAndBottom/>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0" cstate="print"/>
                    <a:stretch>
                      <a:fillRect/>
                    </a:stretch>
                  </pic:blipFill>
                  <pic:spPr>
                    <a:xfrm>
                      <a:off x="0" y="0"/>
                      <a:ext cx="4084974" cy="2260854"/>
                    </a:xfrm>
                    <a:prstGeom prst="rect">
                      <a:avLst/>
                    </a:prstGeom>
                  </pic:spPr>
                </pic:pic>
              </a:graphicData>
            </a:graphic>
          </wp:anchor>
        </w:drawing>
      </w:r>
    </w:p>
    <w:p w14:paraId="533789CC" w14:textId="77777777" w:rsidR="000A5135" w:rsidRPr="009A4532" w:rsidRDefault="000D0B1F">
      <w:pPr>
        <w:spacing w:before="106" w:line="237" w:lineRule="auto"/>
        <w:ind w:left="842" w:right="843"/>
        <w:jc w:val="both"/>
        <w:rPr>
          <w:sz w:val="17"/>
          <w:lang w:val="nl-BE"/>
        </w:rPr>
      </w:pPr>
      <w:r w:rsidRPr="009A4532">
        <w:rPr>
          <w:sz w:val="17"/>
          <w:lang w:val="nl-BE"/>
        </w:rPr>
        <w:t xml:space="preserve">Figuur </w:t>
      </w:r>
      <w:r w:rsidRPr="009A4532">
        <w:rPr>
          <w:sz w:val="18"/>
          <w:lang w:val="nl-BE"/>
        </w:rPr>
        <w:t>7.2.1</w:t>
      </w:r>
      <w:r w:rsidRPr="009A4532">
        <w:rPr>
          <w:sz w:val="17"/>
          <w:lang w:val="nl-BE"/>
        </w:rPr>
        <w:t>: Overgangen tussen vaste, vloeibare en gasvormige toestanden van een stof treden op wanneer temperatuur- of drukomstandigheden de bijbehorende veranderingen in intermoleculaire krachten bevorderen. (Opmerking: de ruimte tussen de deeltjes in de gasfase is veel groter dan weergegeven.)</w:t>
      </w:r>
    </w:p>
    <w:p w14:paraId="14AE4BA0" w14:textId="77777777" w:rsidR="000A5135" w:rsidRPr="009A4532" w:rsidRDefault="000D0B1F">
      <w:pPr>
        <w:pStyle w:val="Plattetekst"/>
        <w:spacing w:before="102" w:line="276" w:lineRule="auto"/>
        <w:ind w:left="335" w:right="333"/>
        <w:jc w:val="both"/>
        <w:rPr>
          <w:lang w:val="nl-BE"/>
        </w:rPr>
      </w:pPr>
      <w:r w:rsidRPr="009A4532">
        <w:rPr>
          <w:lang w:val="nl-BE"/>
        </w:rPr>
        <w:t>Beschouw als voorbeeld van de processen die in deze figuur zijn afgebeeld een monster van water. Wanneer gasvormig water voldoende is afgekoeld, zullen de aantrekkingskrachten tussen H</w:t>
      </w:r>
      <w:r w:rsidRPr="00F97CB0">
        <w:rPr>
          <w:vertAlign w:val="subscript"/>
          <w:lang w:val="nl-BE"/>
        </w:rPr>
        <w:t>2</w:t>
      </w:r>
      <w:r w:rsidRPr="009A4532">
        <w:rPr>
          <w:lang w:val="nl-BE"/>
        </w:rPr>
        <w:t>O-moleculen in staat zijn om ze bij elkaar te houden wanneer ze met elkaar in contact komen; het gas condenseert en vormt vloeibare H</w:t>
      </w:r>
      <w:r w:rsidRPr="00F97CB0">
        <w:rPr>
          <w:vertAlign w:val="subscript"/>
          <w:lang w:val="nl-BE"/>
        </w:rPr>
        <w:t>2</w:t>
      </w:r>
      <w:r w:rsidRPr="009A4532">
        <w:rPr>
          <w:lang w:val="nl-BE"/>
        </w:rPr>
        <w:t xml:space="preserve">O. Aan de buitenkant van een koud glas vormt zich bijvoorbeeld vloeibaar water doordat de waterdamp in de lucht wordt gekoeld door het koude glas, zoals te zien is in figuur </w:t>
      </w:r>
      <w:r w:rsidRPr="009A4532">
        <w:rPr>
          <w:sz w:val="20"/>
          <w:lang w:val="nl-BE"/>
        </w:rPr>
        <w:t>7.2.2</w:t>
      </w:r>
      <w:r w:rsidRPr="009A4532">
        <w:rPr>
          <w:lang w:val="nl-BE"/>
        </w:rPr>
        <w:t>.</w:t>
      </w:r>
    </w:p>
    <w:p w14:paraId="7D97FDE8" w14:textId="77777777" w:rsidR="000A5135" w:rsidRPr="009A4532" w:rsidRDefault="000A5135">
      <w:pPr>
        <w:pStyle w:val="Plattetekst"/>
        <w:spacing w:line="276" w:lineRule="auto"/>
        <w:jc w:val="both"/>
        <w:rPr>
          <w:lang w:val="nl-BE"/>
        </w:rPr>
        <w:sectPr w:rsidR="000A5135" w:rsidRPr="009A4532">
          <w:headerReference w:type="default" r:id="rId11"/>
          <w:footerReference w:type="default" r:id="rId12"/>
          <w:type w:val="continuous"/>
          <w:pgSz w:w="12240" w:h="15840"/>
          <w:pgMar w:top="980" w:right="720" w:bottom="760" w:left="720" w:header="437" w:footer="560" w:gutter="0"/>
          <w:pgNumType w:start="1"/>
          <w:cols w:space="708"/>
        </w:sectPr>
      </w:pPr>
    </w:p>
    <w:p w14:paraId="4AF4A3BE" w14:textId="77777777" w:rsidR="000A5135" w:rsidRPr="009A4532" w:rsidRDefault="000A5135">
      <w:pPr>
        <w:pStyle w:val="Plattetekst"/>
        <w:rPr>
          <w:sz w:val="7"/>
          <w:lang w:val="nl-BE"/>
        </w:rPr>
      </w:pPr>
    </w:p>
    <w:p w14:paraId="263A909C" w14:textId="77777777" w:rsidR="000A5135" w:rsidRDefault="000D0B1F">
      <w:pPr>
        <w:pStyle w:val="Plattetekst"/>
        <w:ind w:left="2520"/>
        <w:rPr>
          <w:sz w:val="20"/>
        </w:rPr>
      </w:pPr>
      <w:r>
        <w:rPr>
          <w:noProof/>
          <w:sz w:val="20"/>
        </w:rPr>
        <w:drawing>
          <wp:inline distT="0" distB="0" distL="0" distR="0" wp14:anchorId="5C34A3DA" wp14:editId="6A7ECF24">
            <wp:extent cx="3619652" cy="1508188"/>
            <wp:effectExtent l="0" t="0" r="0" b="0"/>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13" cstate="print"/>
                    <a:stretch>
                      <a:fillRect/>
                    </a:stretch>
                  </pic:blipFill>
                  <pic:spPr>
                    <a:xfrm>
                      <a:off x="0" y="0"/>
                      <a:ext cx="3619652" cy="1508188"/>
                    </a:xfrm>
                    <a:prstGeom prst="rect">
                      <a:avLst/>
                    </a:prstGeom>
                  </pic:spPr>
                </pic:pic>
              </a:graphicData>
            </a:graphic>
          </wp:inline>
        </w:drawing>
      </w:r>
    </w:p>
    <w:p w14:paraId="2FCA6952" w14:textId="77777777" w:rsidR="000A5135" w:rsidRPr="009A4532" w:rsidRDefault="000D0B1F">
      <w:pPr>
        <w:spacing w:before="53" w:line="237" w:lineRule="auto"/>
        <w:ind w:left="842" w:right="842"/>
        <w:jc w:val="both"/>
        <w:rPr>
          <w:sz w:val="17"/>
          <w:lang w:val="nl-BE"/>
        </w:rPr>
      </w:pPr>
      <w:r w:rsidRPr="009A4532">
        <w:rPr>
          <w:sz w:val="17"/>
          <w:lang w:val="nl-BE"/>
        </w:rPr>
        <w:t xml:space="preserve">Figuur </w:t>
      </w:r>
      <w:r w:rsidRPr="009A4532">
        <w:rPr>
          <w:sz w:val="18"/>
          <w:lang w:val="nl-BE"/>
        </w:rPr>
        <w:t>7.2.2</w:t>
      </w:r>
      <w:r w:rsidRPr="009A4532">
        <w:rPr>
          <w:sz w:val="17"/>
          <w:lang w:val="nl-BE"/>
        </w:rPr>
        <w:t xml:space="preserve">: Condensatie ontstaat wanneer waterdamp in de lucht voldoende is afgekoeld om vloeibaar water te vormen, zoals (a) aan de buitenkant van een glas koude dranken of (b) in de vorm van mist. (credit a: wijziging van het werk door Jenny </w:t>
      </w:r>
      <w:proofErr w:type="spellStart"/>
      <w:r w:rsidRPr="009A4532">
        <w:rPr>
          <w:sz w:val="17"/>
          <w:lang w:val="nl-BE"/>
        </w:rPr>
        <w:t>Downing</w:t>
      </w:r>
      <w:proofErr w:type="spellEnd"/>
      <w:r w:rsidRPr="009A4532">
        <w:rPr>
          <w:sz w:val="17"/>
          <w:lang w:val="nl-BE"/>
        </w:rPr>
        <w:t xml:space="preserve">; credit b: wijziging van het werk door Cory </w:t>
      </w:r>
      <w:proofErr w:type="spellStart"/>
      <w:r w:rsidRPr="009A4532">
        <w:rPr>
          <w:sz w:val="17"/>
          <w:lang w:val="nl-BE"/>
        </w:rPr>
        <w:t>Zanker</w:t>
      </w:r>
      <w:proofErr w:type="spellEnd"/>
      <w:r w:rsidRPr="009A4532">
        <w:rPr>
          <w:sz w:val="17"/>
          <w:lang w:val="nl-BE"/>
        </w:rPr>
        <w:t>)</w:t>
      </w:r>
    </w:p>
    <w:p w14:paraId="03372E8F" w14:textId="77777777" w:rsidR="000A5135" w:rsidRPr="009A4532" w:rsidRDefault="000D0B1F">
      <w:pPr>
        <w:pStyle w:val="Plattetekst"/>
        <w:spacing w:before="117" w:line="278" w:lineRule="auto"/>
        <w:ind w:left="335" w:right="337"/>
        <w:jc w:val="both"/>
        <w:rPr>
          <w:lang w:val="nl-BE"/>
        </w:rPr>
      </w:pPr>
      <w:r w:rsidRPr="009A4532">
        <w:rPr>
          <w:lang w:val="nl-BE"/>
        </w:rPr>
        <w:t>We kunnen ook veel gassen vloeibaar maken door ze samen te persen, als de temperatuur niet te hoog is. De verhoogde druk brengt de moleculen van een gas dichter bij elkaar, zodat de aantrekkingskracht tussen de moleculen sterk wordt ten opzichte van hun KE. Bijgevolg vormen ze vloeistoffen. Butaan, C</w:t>
      </w:r>
      <w:r w:rsidRPr="00F97CB0">
        <w:rPr>
          <w:vertAlign w:val="subscript"/>
          <w:lang w:val="nl-BE"/>
        </w:rPr>
        <w:t>4</w:t>
      </w:r>
      <w:r w:rsidRPr="009A4532">
        <w:rPr>
          <w:lang w:val="nl-BE"/>
        </w:rPr>
        <w:t>H</w:t>
      </w:r>
      <w:r w:rsidRPr="00F97CB0">
        <w:rPr>
          <w:vertAlign w:val="subscript"/>
          <w:lang w:val="nl-BE"/>
        </w:rPr>
        <w:t>10</w:t>
      </w:r>
      <w:r w:rsidRPr="009A4532">
        <w:rPr>
          <w:lang w:val="nl-BE"/>
        </w:rPr>
        <w:t xml:space="preserve">, is de brandstof die wordt gebruikt in wegwerpaanstekers en is een gas bij standaardtemperatuur en -druk. In het brandstofcompartiment van de aansteker wordt het butaan samengeperst tot een druk die resulteert in condensatie tot vloeibare toestand, zoals weergegeven in figuur </w:t>
      </w:r>
      <w:r w:rsidRPr="009A4532">
        <w:rPr>
          <w:sz w:val="20"/>
          <w:lang w:val="nl-BE"/>
        </w:rPr>
        <w:t>7.2.3</w:t>
      </w:r>
      <w:r w:rsidRPr="009A4532">
        <w:rPr>
          <w:lang w:val="nl-BE"/>
        </w:rPr>
        <w:t>.</w:t>
      </w:r>
    </w:p>
    <w:p w14:paraId="7701C72A" w14:textId="77777777" w:rsidR="000A5135" w:rsidRPr="009A4532" w:rsidRDefault="000D0B1F">
      <w:pPr>
        <w:pStyle w:val="Plattetekst"/>
        <w:rPr>
          <w:sz w:val="5"/>
          <w:lang w:val="nl-BE"/>
        </w:rPr>
      </w:pPr>
      <w:r>
        <w:rPr>
          <w:noProof/>
          <w:sz w:val="5"/>
        </w:rPr>
        <w:drawing>
          <wp:anchor distT="0" distB="0" distL="0" distR="0" simplePos="0" relativeHeight="487589376" behindDoc="1" locked="0" layoutInCell="1" allowOverlap="1" wp14:anchorId="1DDD75F7" wp14:editId="54034F0F">
            <wp:simplePos x="0" y="0"/>
            <wp:positionH relativeFrom="page">
              <wp:posOffset>3314700</wp:posOffset>
            </wp:positionH>
            <wp:positionV relativeFrom="paragraph">
              <wp:posOffset>52132</wp:posOffset>
            </wp:positionV>
            <wp:extent cx="1147535" cy="2409825"/>
            <wp:effectExtent l="0" t="0" r="0" b="0"/>
            <wp:wrapTopAndBottom/>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4" cstate="print"/>
                    <a:stretch>
                      <a:fillRect/>
                    </a:stretch>
                  </pic:blipFill>
                  <pic:spPr>
                    <a:xfrm>
                      <a:off x="0" y="0"/>
                      <a:ext cx="1147535" cy="2409825"/>
                    </a:xfrm>
                    <a:prstGeom prst="rect">
                      <a:avLst/>
                    </a:prstGeom>
                  </pic:spPr>
                </pic:pic>
              </a:graphicData>
            </a:graphic>
          </wp:anchor>
        </w:drawing>
      </w:r>
    </w:p>
    <w:p w14:paraId="1A427E57" w14:textId="77777777" w:rsidR="000A5135" w:rsidRPr="009A4532" w:rsidRDefault="000D0B1F">
      <w:pPr>
        <w:spacing w:before="28" w:line="237" w:lineRule="auto"/>
        <w:ind w:left="842" w:right="851"/>
        <w:jc w:val="both"/>
        <w:rPr>
          <w:sz w:val="17"/>
          <w:lang w:val="nl-BE"/>
        </w:rPr>
      </w:pPr>
      <w:r w:rsidRPr="009A4532">
        <w:rPr>
          <w:sz w:val="17"/>
          <w:lang w:val="nl-BE"/>
        </w:rPr>
        <w:t xml:space="preserve">Figuur </w:t>
      </w:r>
      <w:r w:rsidRPr="009A4532">
        <w:rPr>
          <w:sz w:val="18"/>
          <w:lang w:val="nl-BE"/>
        </w:rPr>
        <w:t>7.2.3</w:t>
      </w:r>
      <w:r w:rsidRPr="009A4532">
        <w:rPr>
          <w:sz w:val="17"/>
          <w:lang w:val="nl-BE"/>
        </w:rPr>
        <w:t xml:space="preserve">: Gasvormig butaan wordt samengeperst in het </w:t>
      </w:r>
      <w:proofErr w:type="spellStart"/>
      <w:r w:rsidRPr="009A4532">
        <w:rPr>
          <w:sz w:val="17"/>
          <w:lang w:val="nl-BE"/>
        </w:rPr>
        <w:t>opbergvak</w:t>
      </w:r>
      <w:proofErr w:type="spellEnd"/>
      <w:r w:rsidRPr="009A4532">
        <w:rPr>
          <w:sz w:val="17"/>
          <w:lang w:val="nl-BE"/>
        </w:rPr>
        <w:t xml:space="preserve"> van een wegwerpaansteker, waardoor het condenseert tot de vloeibare toestand. (credit: wijziging van het werk door "Sam-Cat"/Flickr)</w:t>
      </w:r>
    </w:p>
    <w:p w14:paraId="7C1D1506" w14:textId="2BAE45A8" w:rsidR="000A5135" w:rsidRPr="009A4532" w:rsidRDefault="000D0B1F" w:rsidP="0096224F">
      <w:pPr>
        <w:pStyle w:val="Plattetekst"/>
        <w:spacing w:before="101" w:line="280" w:lineRule="auto"/>
        <w:ind w:left="335" w:right="334"/>
        <w:jc w:val="both"/>
        <w:rPr>
          <w:sz w:val="10"/>
          <w:lang w:val="nl-BE"/>
        </w:rPr>
      </w:pPr>
      <w:r w:rsidRPr="009A4532">
        <w:rPr>
          <w:lang w:val="nl-BE"/>
        </w:rPr>
        <w:t>Ten slotte, als de temperatuur van een vloeistof voldoende laag wordt, of de druk op de vloeistof voldoende hoog wordt, hebben de moleculen van de vloeistof niet langer genoeg KE om de IMF tussen hen te overwinnen en vormt zich een vaste stof. Een grondigere bespreking van deze en andere toestandsveranderingen, of faseovergangen, wordt gegeven in een latere module van dit hoofdstuk.</w:t>
      </w:r>
      <w:r w:rsidR="0096224F" w:rsidRPr="009A4532">
        <w:rPr>
          <w:sz w:val="10"/>
          <w:lang w:val="nl-BE"/>
        </w:rPr>
        <w:t xml:space="preserve"> </w:t>
      </w:r>
    </w:p>
    <w:p w14:paraId="02BC770D" w14:textId="77777777" w:rsidR="000A5135" w:rsidRPr="009A4532" w:rsidRDefault="000D0B1F">
      <w:pPr>
        <w:pStyle w:val="Kop1"/>
        <w:rPr>
          <w:lang w:val="nl-BE"/>
        </w:rPr>
      </w:pPr>
      <w:r w:rsidRPr="009A4532">
        <w:rPr>
          <w:color w:val="1279C2"/>
          <w:lang w:val="nl-BE"/>
        </w:rPr>
        <w:t>Krachten tussen moleculen</w:t>
      </w:r>
    </w:p>
    <w:p w14:paraId="132FE88B" w14:textId="77777777" w:rsidR="000A5135" w:rsidRPr="009A4532" w:rsidRDefault="000D0B1F">
      <w:pPr>
        <w:pStyle w:val="Plattetekst"/>
        <w:spacing w:before="121" w:line="278" w:lineRule="auto"/>
        <w:ind w:left="335" w:right="333"/>
        <w:jc w:val="both"/>
        <w:rPr>
          <w:lang w:val="nl-BE"/>
        </w:rPr>
      </w:pPr>
      <w:r w:rsidRPr="009A4532">
        <w:rPr>
          <w:lang w:val="nl-BE"/>
        </w:rPr>
        <w:t xml:space="preserve">Onder de juiste omstandigheden zal de aantrekkingskracht tussen alle gasmoleculen ervoor zorgen dat ze vloeistoffen of vaste stoffen vormen. Dit komt door intermoleculaire krachten, niet door </w:t>
      </w:r>
      <w:proofErr w:type="spellStart"/>
      <w:r w:rsidRPr="009A4532">
        <w:rPr>
          <w:i/>
          <w:lang w:val="nl-BE"/>
        </w:rPr>
        <w:t>intramoleculaire</w:t>
      </w:r>
      <w:proofErr w:type="spellEnd"/>
      <w:r w:rsidRPr="009A4532">
        <w:rPr>
          <w:i/>
          <w:lang w:val="nl-BE"/>
        </w:rPr>
        <w:t xml:space="preserve"> krachten. </w:t>
      </w:r>
      <w:proofErr w:type="spellStart"/>
      <w:r w:rsidRPr="009A4532">
        <w:rPr>
          <w:i/>
          <w:lang w:val="nl-BE"/>
        </w:rPr>
        <w:t>Intramoleculaire</w:t>
      </w:r>
      <w:proofErr w:type="spellEnd"/>
      <w:r w:rsidRPr="009A4532">
        <w:rPr>
          <w:i/>
          <w:lang w:val="nl-BE"/>
        </w:rPr>
        <w:t xml:space="preserve"> krachten zijn krachten in </w:t>
      </w:r>
      <w:r w:rsidRPr="009A4532">
        <w:rPr>
          <w:lang w:val="nl-BE"/>
        </w:rPr>
        <w:t xml:space="preserve">het molecuul die het molecuul bij elkaar houden, bijvoorbeeld de bindingen tussen de atomen. </w:t>
      </w:r>
      <w:r w:rsidRPr="009A4532">
        <w:rPr>
          <w:i/>
          <w:lang w:val="nl-BE"/>
        </w:rPr>
        <w:t xml:space="preserve">Intermoleculaire krachten zijn de aantrekkingskrachten tussen </w:t>
      </w:r>
      <w:r w:rsidRPr="009A4532">
        <w:rPr>
          <w:lang w:val="nl-BE"/>
        </w:rPr>
        <w:t xml:space="preserve">moleculen, die veel van de fysische eigenschappen van een stof bepalen. Figuur </w:t>
      </w:r>
      <w:r w:rsidRPr="009A4532">
        <w:rPr>
          <w:sz w:val="20"/>
          <w:lang w:val="nl-BE"/>
        </w:rPr>
        <w:t>7.2.4</w:t>
      </w:r>
      <w:r w:rsidRPr="009A4532">
        <w:rPr>
          <w:lang w:val="nl-BE"/>
        </w:rPr>
        <w:t xml:space="preserve">: illustreert deze verschillende moleculaire krachten. De sterke punten van deze aantrekkingskrachten variëren sterk, hoewel de </w:t>
      </w:r>
      <w:proofErr w:type="spellStart"/>
      <w:r w:rsidRPr="009A4532">
        <w:rPr>
          <w:lang w:val="nl-BE"/>
        </w:rPr>
        <w:t>IMF's</w:t>
      </w:r>
      <w:proofErr w:type="spellEnd"/>
      <w:r w:rsidRPr="009A4532">
        <w:rPr>
          <w:lang w:val="nl-BE"/>
        </w:rPr>
        <w:t xml:space="preserve"> tussen kleine moleculen meestal zwak zijn in vergelijking met de </w:t>
      </w:r>
      <w:proofErr w:type="spellStart"/>
      <w:r w:rsidRPr="009A4532">
        <w:rPr>
          <w:lang w:val="nl-BE"/>
        </w:rPr>
        <w:t>intramoleculaire</w:t>
      </w:r>
      <w:proofErr w:type="spellEnd"/>
      <w:r w:rsidRPr="009A4532">
        <w:rPr>
          <w:lang w:val="nl-BE"/>
        </w:rPr>
        <w:t xml:space="preserve"> krachten die atomen binnen een molecuul aan elkaar binden. Om bijvoorbeeld de </w:t>
      </w:r>
      <w:proofErr w:type="spellStart"/>
      <w:r w:rsidRPr="009A4532">
        <w:rPr>
          <w:lang w:val="nl-BE"/>
        </w:rPr>
        <w:t>IMF's</w:t>
      </w:r>
      <w:proofErr w:type="spellEnd"/>
      <w:r w:rsidRPr="009A4532">
        <w:rPr>
          <w:lang w:val="nl-BE"/>
        </w:rPr>
        <w:t xml:space="preserve"> in één mol vloeibaar </w:t>
      </w:r>
      <w:proofErr w:type="spellStart"/>
      <w:r w:rsidRPr="009A4532">
        <w:rPr>
          <w:lang w:val="nl-BE"/>
        </w:rPr>
        <w:t>HCl</w:t>
      </w:r>
      <w:proofErr w:type="spellEnd"/>
      <w:r w:rsidRPr="009A4532">
        <w:rPr>
          <w:lang w:val="nl-BE"/>
        </w:rPr>
        <w:t xml:space="preserve"> te overwinnen en om te zetten in gasvormig </w:t>
      </w:r>
      <w:proofErr w:type="spellStart"/>
      <w:r w:rsidRPr="009A4532">
        <w:rPr>
          <w:lang w:val="nl-BE"/>
        </w:rPr>
        <w:t>HCl</w:t>
      </w:r>
      <w:proofErr w:type="spellEnd"/>
      <w:r w:rsidRPr="009A4532">
        <w:rPr>
          <w:lang w:val="nl-BE"/>
        </w:rPr>
        <w:t xml:space="preserve"> is slechts ongeveer 17 kilojoule nodig. Om de covalente bindingen tussen de waterstof- en chlooratomen in één mol </w:t>
      </w:r>
      <w:proofErr w:type="spellStart"/>
      <w:r w:rsidRPr="009A4532">
        <w:rPr>
          <w:lang w:val="nl-BE"/>
        </w:rPr>
        <w:t>HCl</w:t>
      </w:r>
      <w:proofErr w:type="spellEnd"/>
      <w:r w:rsidRPr="009A4532">
        <w:rPr>
          <w:lang w:val="nl-BE"/>
        </w:rPr>
        <w:t xml:space="preserve"> te verbreken, is echter ongeveer 25 keer meer energie nodig: 430 kilojoule.</w:t>
      </w:r>
    </w:p>
    <w:p w14:paraId="2FF8E687" w14:textId="77777777" w:rsidR="000A5135" w:rsidRPr="009A4532" w:rsidRDefault="000A5135">
      <w:pPr>
        <w:pStyle w:val="Plattetekst"/>
        <w:spacing w:line="278" w:lineRule="auto"/>
        <w:jc w:val="both"/>
        <w:rPr>
          <w:lang w:val="nl-BE"/>
        </w:rPr>
        <w:sectPr w:rsidR="000A5135" w:rsidRPr="009A4532">
          <w:pgSz w:w="12240" w:h="15840"/>
          <w:pgMar w:top="980" w:right="720" w:bottom="760" w:left="720" w:header="437" w:footer="560" w:gutter="0"/>
          <w:cols w:space="708"/>
        </w:sectPr>
      </w:pPr>
    </w:p>
    <w:p w14:paraId="7AB0A534" w14:textId="77777777" w:rsidR="000A5135" w:rsidRPr="009A4532" w:rsidRDefault="000A5135">
      <w:pPr>
        <w:pStyle w:val="Plattetekst"/>
        <w:rPr>
          <w:sz w:val="7"/>
          <w:lang w:val="nl-BE"/>
        </w:rPr>
      </w:pPr>
    </w:p>
    <w:p w14:paraId="65BEA5C3" w14:textId="77777777" w:rsidR="000A5135" w:rsidRDefault="000D0B1F">
      <w:pPr>
        <w:pStyle w:val="Plattetekst"/>
        <w:ind w:left="3090"/>
        <w:rPr>
          <w:sz w:val="20"/>
        </w:rPr>
      </w:pPr>
      <w:r>
        <w:rPr>
          <w:noProof/>
          <w:sz w:val="20"/>
        </w:rPr>
        <w:drawing>
          <wp:inline distT="0" distB="0" distL="0" distR="0" wp14:anchorId="3BC14A7B" wp14:editId="01531C84">
            <wp:extent cx="2932730" cy="1152144"/>
            <wp:effectExtent l="0" t="0" r="0" b="0"/>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15" cstate="print"/>
                    <a:stretch>
                      <a:fillRect/>
                    </a:stretch>
                  </pic:blipFill>
                  <pic:spPr>
                    <a:xfrm>
                      <a:off x="0" y="0"/>
                      <a:ext cx="2932730" cy="1152144"/>
                    </a:xfrm>
                    <a:prstGeom prst="rect">
                      <a:avLst/>
                    </a:prstGeom>
                  </pic:spPr>
                </pic:pic>
              </a:graphicData>
            </a:graphic>
          </wp:inline>
        </w:drawing>
      </w:r>
    </w:p>
    <w:p w14:paraId="5DEA1D01" w14:textId="77777777" w:rsidR="000A5135" w:rsidRPr="009A4532" w:rsidRDefault="000D0B1F">
      <w:pPr>
        <w:spacing w:before="44" w:line="237" w:lineRule="auto"/>
        <w:ind w:left="842" w:right="842"/>
        <w:jc w:val="both"/>
        <w:rPr>
          <w:sz w:val="17"/>
          <w:lang w:val="nl-BE"/>
        </w:rPr>
      </w:pPr>
      <w:r w:rsidRPr="009A4532">
        <w:rPr>
          <w:sz w:val="17"/>
          <w:lang w:val="nl-BE"/>
        </w:rPr>
        <w:t xml:space="preserve">Figuur </w:t>
      </w:r>
      <w:r w:rsidRPr="009A4532">
        <w:rPr>
          <w:sz w:val="18"/>
          <w:lang w:val="nl-BE"/>
        </w:rPr>
        <w:t>7.2.4</w:t>
      </w:r>
      <w:r w:rsidRPr="009A4532">
        <w:rPr>
          <w:sz w:val="17"/>
          <w:lang w:val="nl-BE"/>
        </w:rPr>
        <w:t xml:space="preserve">: </w:t>
      </w:r>
      <w:proofErr w:type="spellStart"/>
      <w:r w:rsidRPr="009A4532">
        <w:rPr>
          <w:i/>
          <w:sz w:val="17"/>
          <w:lang w:val="nl-BE"/>
        </w:rPr>
        <w:t>Intramoleculaire</w:t>
      </w:r>
      <w:proofErr w:type="spellEnd"/>
      <w:r w:rsidRPr="009A4532">
        <w:rPr>
          <w:i/>
          <w:sz w:val="17"/>
          <w:lang w:val="nl-BE"/>
        </w:rPr>
        <w:t xml:space="preserve"> krachten houden een molecuul intact. Intermoleculaire krachten houden meerdere moleculen bij elkaar en bepalen veel van de eigenschappen van een stof.</w:t>
      </w:r>
    </w:p>
    <w:p w14:paraId="7967902B" w14:textId="77777777" w:rsidR="000A5135" w:rsidRPr="009A4532" w:rsidRDefault="000D0B1F">
      <w:pPr>
        <w:pStyle w:val="Plattetekst"/>
        <w:spacing w:before="100" w:line="280" w:lineRule="auto"/>
        <w:ind w:left="335" w:right="347"/>
        <w:jc w:val="both"/>
        <w:rPr>
          <w:lang w:val="nl-BE"/>
        </w:rPr>
      </w:pPr>
      <w:r w:rsidRPr="009A4532">
        <w:rPr>
          <w:lang w:val="nl-BE"/>
        </w:rPr>
        <w:t xml:space="preserve">Alle aantrekkingskrachten tussen neutrale atomen en moleculen staan bekend als Van der Waals-krachten, hoewel ze meestal informeler worden aangeduid als intermoleculaire aantrekkingskracht. We zullen de verschillende soorten </w:t>
      </w:r>
      <w:proofErr w:type="spellStart"/>
      <w:r w:rsidRPr="009A4532">
        <w:rPr>
          <w:lang w:val="nl-BE"/>
        </w:rPr>
        <w:t>IMF's</w:t>
      </w:r>
      <w:proofErr w:type="spellEnd"/>
      <w:r w:rsidRPr="009A4532">
        <w:rPr>
          <w:lang w:val="nl-BE"/>
        </w:rPr>
        <w:t xml:space="preserve"> in de volgende drie secties van deze module bespreken.</w:t>
      </w:r>
    </w:p>
    <w:p w14:paraId="1512B58A" w14:textId="77777777" w:rsidR="000A5135" w:rsidRPr="009A4532" w:rsidRDefault="000D0B1F">
      <w:pPr>
        <w:pStyle w:val="Kop1"/>
        <w:spacing w:before="180"/>
        <w:rPr>
          <w:lang w:val="nl-BE"/>
        </w:rPr>
      </w:pPr>
      <w:r w:rsidRPr="009A4532">
        <w:rPr>
          <w:color w:val="1279C2"/>
          <w:lang w:val="nl-BE"/>
        </w:rPr>
        <w:t>Dispersie Krachten</w:t>
      </w:r>
    </w:p>
    <w:p w14:paraId="09CB229D" w14:textId="77777777" w:rsidR="000A5135" w:rsidRPr="009A4532" w:rsidRDefault="000D0B1F">
      <w:pPr>
        <w:pStyle w:val="Plattetekst"/>
        <w:spacing w:before="121" w:line="278" w:lineRule="auto"/>
        <w:ind w:left="335" w:right="334"/>
        <w:jc w:val="both"/>
        <w:rPr>
          <w:lang w:val="nl-BE"/>
        </w:rPr>
      </w:pPr>
      <w:r w:rsidRPr="009A4532">
        <w:rPr>
          <w:lang w:val="nl-BE"/>
        </w:rPr>
        <w:t xml:space="preserve">Een van de drie van der Waalskrachten is aanwezig in alle gecondenseerde fasen, ongeacht de aard van de atomen of moleculen waaruit de stof bestaat. Deze aantrekkingskracht wordt de Londense dispersiekracht genoemd ter ere van de in Duitsland geboren Amerikaanse natuurkundige Fritz London, die het in 1928 voor het eerst verklaarde. Deze kracht wordt vaak eenvoudigweg de </w:t>
      </w:r>
      <w:r w:rsidRPr="009A4532">
        <w:rPr>
          <w:b/>
          <w:lang w:val="nl-BE"/>
        </w:rPr>
        <w:t>dispersiekracht genoemd</w:t>
      </w:r>
      <w:r w:rsidRPr="009A4532">
        <w:rPr>
          <w:lang w:val="nl-BE"/>
        </w:rPr>
        <w:t xml:space="preserve">. Omdat de elektronen van een atoom of molecuul constant in beweging zijn (of, als alternatief, de locatie van het elektron onderhevig is aan kwantummechanische variabiliteit), kan een atoom of molecuul op elk moment in de tijd een tijdelijke, </w:t>
      </w:r>
      <w:r w:rsidRPr="009A4532">
        <w:rPr>
          <w:b/>
          <w:lang w:val="nl-BE"/>
        </w:rPr>
        <w:t xml:space="preserve">onmiddellijke dipool  ontwikkelen </w:t>
      </w:r>
      <w:r w:rsidRPr="009A4532">
        <w:rPr>
          <w:lang w:val="nl-BE"/>
        </w:rPr>
        <w:t xml:space="preserve">als zijn elektronen asymmetrisch zijn verdeeld. De aanwezigheid van deze dipool kan op zijn beurt de elektronen van een naburig atoom of molecuul vervormen, waardoor een </w:t>
      </w:r>
      <w:r w:rsidRPr="009A4532">
        <w:rPr>
          <w:b/>
          <w:lang w:val="nl-BE"/>
        </w:rPr>
        <w:t>geïnduceerde dipool ontstaat</w:t>
      </w:r>
      <w:r w:rsidRPr="009A4532">
        <w:rPr>
          <w:lang w:val="nl-BE"/>
        </w:rPr>
        <w:t xml:space="preserve">. Deze twee snel fluctuerende, tijdelijke dipolen resulteren dus in een relatief zwakke elektrostatische aantrekkingskracht tussen de soorten – een zogenaamde dispersiekracht zoals geïllustreerd in figuur </w:t>
      </w:r>
      <w:r w:rsidRPr="009A4532">
        <w:rPr>
          <w:sz w:val="20"/>
          <w:lang w:val="nl-BE"/>
        </w:rPr>
        <w:t>7.2.5</w:t>
      </w:r>
      <w:r w:rsidRPr="009A4532">
        <w:rPr>
          <w:lang w:val="nl-BE"/>
        </w:rPr>
        <w:t>.</w:t>
      </w:r>
    </w:p>
    <w:p w14:paraId="50FB8C58" w14:textId="77777777" w:rsidR="000A5135" w:rsidRPr="009A4532" w:rsidRDefault="000D0B1F">
      <w:pPr>
        <w:pStyle w:val="Plattetekst"/>
        <w:spacing w:before="4"/>
        <w:rPr>
          <w:sz w:val="5"/>
          <w:lang w:val="nl-BE"/>
        </w:rPr>
      </w:pPr>
      <w:r>
        <w:rPr>
          <w:noProof/>
          <w:sz w:val="5"/>
        </w:rPr>
        <w:drawing>
          <wp:anchor distT="0" distB="0" distL="0" distR="0" simplePos="0" relativeHeight="487590400" behindDoc="1" locked="0" layoutInCell="1" allowOverlap="1" wp14:anchorId="6C79A088" wp14:editId="11108489">
            <wp:simplePos x="0" y="0"/>
            <wp:positionH relativeFrom="page">
              <wp:posOffset>2790824</wp:posOffset>
            </wp:positionH>
            <wp:positionV relativeFrom="paragraph">
              <wp:posOffset>54904</wp:posOffset>
            </wp:positionV>
            <wp:extent cx="2186068" cy="1632204"/>
            <wp:effectExtent l="0" t="0" r="0" b="0"/>
            <wp:wrapTopAndBottom/>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16" cstate="print"/>
                    <a:stretch>
                      <a:fillRect/>
                    </a:stretch>
                  </pic:blipFill>
                  <pic:spPr>
                    <a:xfrm>
                      <a:off x="0" y="0"/>
                      <a:ext cx="2186068" cy="1632204"/>
                    </a:xfrm>
                    <a:prstGeom prst="rect">
                      <a:avLst/>
                    </a:prstGeom>
                  </pic:spPr>
                </pic:pic>
              </a:graphicData>
            </a:graphic>
          </wp:anchor>
        </w:drawing>
      </w:r>
    </w:p>
    <w:p w14:paraId="5D43E55B" w14:textId="77777777" w:rsidR="000A5135" w:rsidRPr="009A4532" w:rsidRDefault="000D0B1F">
      <w:pPr>
        <w:spacing w:before="38" w:line="237" w:lineRule="auto"/>
        <w:ind w:left="842" w:right="849"/>
        <w:jc w:val="both"/>
        <w:rPr>
          <w:sz w:val="17"/>
          <w:lang w:val="nl-BE"/>
        </w:rPr>
      </w:pPr>
      <w:r w:rsidRPr="009A4532">
        <w:rPr>
          <w:sz w:val="17"/>
          <w:lang w:val="nl-BE"/>
        </w:rPr>
        <w:t xml:space="preserve">Figuur </w:t>
      </w:r>
      <w:r w:rsidRPr="009A4532">
        <w:rPr>
          <w:sz w:val="18"/>
          <w:lang w:val="nl-BE"/>
        </w:rPr>
        <w:t>7.2.5</w:t>
      </w:r>
      <w:r w:rsidRPr="009A4532">
        <w:rPr>
          <w:sz w:val="17"/>
          <w:lang w:val="nl-BE"/>
        </w:rPr>
        <w:t xml:space="preserve">: Dispersiekrachten zijn het gevolg van de vorming van tijdelijke dipolen, zoals hier geïllustreerd voor twee niet-polaire </w:t>
      </w:r>
      <w:proofErr w:type="spellStart"/>
      <w:r w:rsidRPr="009A4532">
        <w:rPr>
          <w:sz w:val="17"/>
          <w:lang w:val="nl-BE"/>
        </w:rPr>
        <w:t>diatomische</w:t>
      </w:r>
      <w:proofErr w:type="spellEnd"/>
      <w:r w:rsidRPr="009A4532">
        <w:rPr>
          <w:sz w:val="17"/>
          <w:lang w:val="nl-BE"/>
        </w:rPr>
        <w:t xml:space="preserve"> moleculen.</w:t>
      </w:r>
    </w:p>
    <w:p w14:paraId="10C2C8A6" w14:textId="77777777" w:rsidR="000A5135" w:rsidRPr="009A4532" w:rsidRDefault="000D0B1F">
      <w:pPr>
        <w:pStyle w:val="Plattetekst"/>
        <w:spacing w:before="100" w:line="278" w:lineRule="auto"/>
        <w:ind w:left="335" w:right="337"/>
        <w:jc w:val="both"/>
        <w:rPr>
          <w:lang w:val="nl-BE"/>
        </w:rPr>
      </w:pPr>
      <w:r w:rsidRPr="009A4532">
        <w:rPr>
          <w:lang w:val="nl-BE"/>
        </w:rPr>
        <w:t>Dispersiekrachten die zich ontwikkelen tussen atomen in verschillende moleculen kunnen de twee moleculen naar elkaar toe trekken. De krachten zijn echter relatief zwak en worden pas significant als de moleculen heel dicht bij elkaar liggen. Grotere en zwaardere atomen en moleculen vertonen sterkere dispersiekrachten dan kleinere en lichtere atomen en moleculen. F</w:t>
      </w:r>
      <w:r w:rsidRPr="00F97CB0">
        <w:rPr>
          <w:vertAlign w:val="subscript"/>
          <w:lang w:val="nl-BE"/>
        </w:rPr>
        <w:t>2</w:t>
      </w:r>
      <w:r w:rsidRPr="009A4532">
        <w:rPr>
          <w:lang w:val="nl-BE"/>
        </w:rPr>
        <w:t xml:space="preserve"> en Cl</w:t>
      </w:r>
      <w:r w:rsidRPr="00F97CB0">
        <w:rPr>
          <w:vertAlign w:val="subscript"/>
          <w:lang w:val="nl-BE"/>
        </w:rPr>
        <w:t>2</w:t>
      </w:r>
      <w:r w:rsidRPr="009A4532">
        <w:rPr>
          <w:lang w:val="nl-BE"/>
        </w:rPr>
        <w:t xml:space="preserve"> zijn gassen bij kamertemperatuur (als gevolg van zwakkere aantrekkingskrachten); Br</w:t>
      </w:r>
      <w:r w:rsidRPr="00F97CB0">
        <w:rPr>
          <w:vertAlign w:val="subscript"/>
          <w:lang w:val="nl-BE"/>
        </w:rPr>
        <w:t>2</w:t>
      </w:r>
      <w:r w:rsidRPr="009A4532">
        <w:rPr>
          <w:lang w:val="nl-BE"/>
        </w:rPr>
        <w:t xml:space="preserve"> is een vloeistof en I</w:t>
      </w:r>
      <w:r w:rsidRPr="00F97CB0">
        <w:rPr>
          <w:vertAlign w:val="subscript"/>
          <w:lang w:val="nl-BE"/>
        </w:rPr>
        <w:t>2</w:t>
      </w:r>
      <w:r w:rsidRPr="009A4532">
        <w:rPr>
          <w:lang w:val="nl-BE"/>
        </w:rPr>
        <w:t xml:space="preserve"> is een vaste stof (als gevolg van sterkere aantrekkingskrachten). Trends in de waargenomen smelt- en kookpunten voor de halogenen tonen dit effect duidelijk aan, zoals te zien is in tabel </w:t>
      </w:r>
      <w:r w:rsidRPr="009A4532">
        <w:rPr>
          <w:sz w:val="20"/>
          <w:lang w:val="nl-BE"/>
        </w:rPr>
        <w:t>7.2.1</w:t>
      </w:r>
      <w:r w:rsidRPr="009A4532">
        <w:rPr>
          <w:lang w:val="nl-BE"/>
        </w:rPr>
        <w:t>.</w:t>
      </w:r>
    </w:p>
    <w:p w14:paraId="1B98540F" w14:textId="77777777" w:rsidR="000A5135" w:rsidRPr="009A4532" w:rsidRDefault="000D0B1F">
      <w:pPr>
        <w:spacing w:before="64" w:after="44"/>
        <w:ind w:left="3448"/>
        <w:jc w:val="both"/>
        <w:rPr>
          <w:sz w:val="17"/>
          <w:lang w:val="nl-BE"/>
        </w:rPr>
      </w:pPr>
      <w:r w:rsidRPr="009A4532">
        <w:rPr>
          <w:sz w:val="17"/>
          <w:lang w:val="nl-BE"/>
        </w:rPr>
        <w:t xml:space="preserve">Tabel </w:t>
      </w:r>
      <w:r w:rsidRPr="009A4532">
        <w:rPr>
          <w:sz w:val="18"/>
          <w:lang w:val="nl-BE"/>
        </w:rPr>
        <w:t>7.2.1</w:t>
      </w:r>
      <w:r w:rsidRPr="009A4532">
        <w:rPr>
          <w:sz w:val="17"/>
          <w:lang w:val="nl-BE"/>
        </w:rPr>
        <w:t>: Smelt- en kookpunten van de halogenen</w:t>
      </w:r>
    </w:p>
    <w:tbl>
      <w:tblPr>
        <w:tblStyle w:val="TableNormal"/>
        <w:tblW w:w="0" w:type="auto"/>
        <w:tblInd w:w="524"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1950"/>
        <w:gridCol w:w="1950"/>
        <w:gridCol w:w="1950"/>
        <w:gridCol w:w="1957"/>
        <w:gridCol w:w="1979"/>
      </w:tblGrid>
      <w:tr w:rsidR="000A5135" w14:paraId="436E90D2" w14:textId="77777777">
        <w:trPr>
          <w:trHeight w:val="322"/>
        </w:trPr>
        <w:tc>
          <w:tcPr>
            <w:tcW w:w="1950" w:type="dxa"/>
            <w:tcBorders>
              <w:bottom w:val="single" w:sz="12" w:space="0" w:color="DDDDDD"/>
              <w:right w:val="nil"/>
            </w:tcBorders>
            <w:shd w:val="clear" w:color="auto" w:fill="E4F5FE"/>
          </w:tcPr>
          <w:p w14:paraId="3DDD8F6D" w14:textId="77777777" w:rsidR="000A5135" w:rsidRDefault="000D0B1F">
            <w:pPr>
              <w:pStyle w:val="TableParagraph"/>
              <w:ind w:left="22"/>
              <w:rPr>
                <w:sz w:val="16"/>
              </w:rPr>
            </w:pPr>
            <w:proofErr w:type="spellStart"/>
            <w:r>
              <w:rPr>
                <w:spacing w:val="-2"/>
                <w:sz w:val="16"/>
              </w:rPr>
              <w:t>Halogeen</w:t>
            </w:r>
            <w:proofErr w:type="spellEnd"/>
          </w:p>
        </w:tc>
        <w:tc>
          <w:tcPr>
            <w:tcW w:w="1950" w:type="dxa"/>
            <w:tcBorders>
              <w:left w:val="nil"/>
              <w:bottom w:val="single" w:sz="6" w:space="0" w:color="E7E7E7"/>
              <w:right w:val="nil"/>
            </w:tcBorders>
            <w:shd w:val="clear" w:color="auto" w:fill="E4F5FE"/>
          </w:tcPr>
          <w:p w14:paraId="77D4297A" w14:textId="77777777" w:rsidR="000A5135" w:rsidRDefault="000D0B1F">
            <w:pPr>
              <w:pStyle w:val="TableParagraph"/>
              <w:ind w:left="29"/>
              <w:rPr>
                <w:sz w:val="16"/>
              </w:rPr>
            </w:pPr>
            <w:r>
              <w:rPr>
                <w:sz w:val="16"/>
              </w:rPr>
              <w:t>Molaire massa</w:t>
            </w:r>
          </w:p>
        </w:tc>
        <w:tc>
          <w:tcPr>
            <w:tcW w:w="1950" w:type="dxa"/>
            <w:tcBorders>
              <w:left w:val="nil"/>
              <w:bottom w:val="single" w:sz="6" w:space="0" w:color="E7E7E7"/>
              <w:right w:val="nil"/>
            </w:tcBorders>
            <w:shd w:val="clear" w:color="auto" w:fill="E4F5FE"/>
          </w:tcPr>
          <w:p w14:paraId="21482834" w14:textId="77777777" w:rsidR="000A5135" w:rsidRDefault="000D0B1F">
            <w:pPr>
              <w:pStyle w:val="TableParagraph"/>
              <w:ind w:left="29"/>
              <w:rPr>
                <w:sz w:val="16"/>
              </w:rPr>
            </w:pPr>
            <w:r>
              <w:rPr>
                <w:sz w:val="16"/>
              </w:rPr>
              <w:t>Atoomstraal</w:t>
            </w:r>
          </w:p>
        </w:tc>
        <w:tc>
          <w:tcPr>
            <w:tcW w:w="1957" w:type="dxa"/>
            <w:tcBorders>
              <w:left w:val="nil"/>
              <w:bottom w:val="single" w:sz="6" w:space="0" w:color="E7E7E7"/>
              <w:right w:val="nil"/>
            </w:tcBorders>
            <w:shd w:val="clear" w:color="auto" w:fill="E4F5FE"/>
          </w:tcPr>
          <w:p w14:paraId="683B2888" w14:textId="77777777" w:rsidR="000A5135" w:rsidRDefault="000D0B1F">
            <w:pPr>
              <w:pStyle w:val="TableParagraph"/>
              <w:ind w:left="37"/>
              <w:rPr>
                <w:sz w:val="16"/>
              </w:rPr>
            </w:pPr>
            <w:r>
              <w:rPr>
                <w:sz w:val="16"/>
              </w:rPr>
              <w:t>Smeltpunt</w:t>
            </w:r>
          </w:p>
        </w:tc>
        <w:tc>
          <w:tcPr>
            <w:tcW w:w="1979" w:type="dxa"/>
            <w:tcBorders>
              <w:left w:val="nil"/>
              <w:bottom w:val="single" w:sz="6" w:space="0" w:color="E7E7E7"/>
            </w:tcBorders>
            <w:shd w:val="clear" w:color="auto" w:fill="E4F5FE"/>
          </w:tcPr>
          <w:p w14:paraId="408EDAD9" w14:textId="77777777" w:rsidR="000A5135" w:rsidRDefault="000D0B1F">
            <w:pPr>
              <w:pStyle w:val="TableParagraph"/>
              <w:ind w:left="39"/>
              <w:rPr>
                <w:sz w:val="16"/>
              </w:rPr>
            </w:pPr>
            <w:r>
              <w:rPr>
                <w:sz w:val="16"/>
              </w:rPr>
              <w:t>Kookpunt</w:t>
            </w:r>
          </w:p>
        </w:tc>
      </w:tr>
      <w:tr w:rsidR="000A5135" w14:paraId="46B0695A" w14:textId="77777777">
        <w:trPr>
          <w:trHeight w:val="322"/>
        </w:trPr>
        <w:tc>
          <w:tcPr>
            <w:tcW w:w="1950" w:type="dxa"/>
            <w:tcBorders>
              <w:top w:val="single" w:sz="12" w:space="0" w:color="DDDDDD"/>
              <w:left w:val="single" w:sz="12" w:space="0" w:color="E7E7E7"/>
              <w:bottom w:val="single" w:sz="12" w:space="0" w:color="E7E7E7"/>
              <w:right w:val="single" w:sz="12" w:space="0" w:color="E7E7E7"/>
            </w:tcBorders>
          </w:tcPr>
          <w:p w14:paraId="03B6A7E7" w14:textId="77777777" w:rsidR="000A5135" w:rsidRDefault="000D0B1F">
            <w:pPr>
              <w:pStyle w:val="TableParagraph"/>
              <w:spacing w:before="68"/>
              <w:ind w:right="1"/>
              <w:rPr>
                <w:sz w:val="16"/>
              </w:rPr>
            </w:pPr>
            <w:r>
              <w:rPr>
                <w:sz w:val="16"/>
              </w:rPr>
              <w:t xml:space="preserve">fluor, </w:t>
            </w:r>
            <w:r>
              <w:rPr>
                <w:spacing w:val="-5"/>
                <w:w w:val="110"/>
                <w:sz w:val="16"/>
              </w:rPr>
              <w:t>F</w:t>
            </w:r>
            <w:r w:rsidRPr="0096224F">
              <w:rPr>
                <w:spacing w:val="-5"/>
                <w:w w:val="110"/>
                <w:sz w:val="16"/>
                <w:vertAlign w:val="subscript"/>
              </w:rPr>
              <w:t>2</w:t>
            </w:r>
          </w:p>
        </w:tc>
        <w:tc>
          <w:tcPr>
            <w:tcW w:w="1950" w:type="dxa"/>
            <w:tcBorders>
              <w:top w:val="single" w:sz="6" w:space="0" w:color="E7E7E7"/>
              <w:left w:val="single" w:sz="12" w:space="0" w:color="E7E7E7"/>
              <w:bottom w:val="single" w:sz="12" w:space="0" w:color="E7E7E7"/>
              <w:right w:val="single" w:sz="12" w:space="0" w:color="E7E7E7"/>
            </w:tcBorders>
          </w:tcPr>
          <w:p w14:paraId="1153F3B5" w14:textId="77777777" w:rsidR="000A5135" w:rsidRDefault="000D0B1F">
            <w:pPr>
              <w:pStyle w:val="TableParagraph"/>
              <w:spacing w:before="68"/>
              <w:rPr>
                <w:sz w:val="16"/>
              </w:rPr>
            </w:pPr>
            <w:r>
              <w:rPr>
                <w:sz w:val="16"/>
              </w:rPr>
              <w:t>38 g/mol</w:t>
            </w:r>
          </w:p>
        </w:tc>
        <w:tc>
          <w:tcPr>
            <w:tcW w:w="1950" w:type="dxa"/>
            <w:tcBorders>
              <w:top w:val="single" w:sz="6" w:space="0" w:color="E7E7E7"/>
              <w:left w:val="single" w:sz="12" w:space="0" w:color="E7E7E7"/>
              <w:bottom w:val="single" w:sz="12" w:space="0" w:color="E7E7E7"/>
              <w:right w:val="single" w:sz="12" w:space="0" w:color="E7E7E7"/>
            </w:tcBorders>
          </w:tcPr>
          <w:p w14:paraId="5CB90F5D" w14:textId="49AFEFB0" w:rsidR="000A5135" w:rsidRDefault="000D0B1F">
            <w:pPr>
              <w:pStyle w:val="TableParagraph"/>
              <w:spacing w:before="68"/>
              <w:ind w:right="1"/>
              <w:rPr>
                <w:sz w:val="16"/>
              </w:rPr>
            </w:pPr>
            <w:r>
              <w:rPr>
                <w:sz w:val="16"/>
              </w:rPr>
              <w:t xml:space="preserve">72 </w:t>
            </w:r>
          </w:p>
        </w:tc>
        <w:tc>
          <w:tcPr>
            <w:tcW w:w="1957" w:type="dxa"/>
            <w:tcBorders>
              <w:top w:val="single" w:sz="6" w:space="0" w:color="E7E7E7"/>
              <w:left w:val="single" w:sz="12" w:space="0" w:color="E7E7E7"/>
              <w:bottom w:val="single" w:sz="12" w:space="0" w:color="E7E7E7"/>
              <w:right w:val="single" w:sz="6" w:space="0" w:color="E7E7E7"/>
            </w:tcBorders>
          </w:tcPr>
          <w:p w14:paraId="428F4DDC" w14:textId="2BC93394" w:rsidR="000A5135" w:rsidRDefault="000D0B1F">
            <w:pPr>
              <w:pStyle w:val="TableParagraph"/>
              <w:spacing w:before="68"/>
              <w:rPr>
                <w:sz w:val="16"/>
              </w:rPr>
            </w:pPr>
            <w:r>
              <w:rPr>
                <w:sz w:val="16"/>
              </w:rPr>
              <w:t>53</w:t>
            </w:r>
            <w:r w:rsidR="00D11455">
              <w:rPr>
                <w:sz w:val="16"/>
              </w:rPr>
              <w:t xml:space="preserve"> K</w:t>
            </w:r>
            <w:r>
              <w:rPr>
                <w:sz w:val="16"/>
              </w:rPr>
              <w:t xml:space="preserve"> </w:t>
            </w:r>
          </w:p>
        </w:tc>
        <w:tc>
          <w:tcPr>
            <w:tcW w:w="1979" w:type="dxa"/>
            <w:tcBorders>
              <w:top w:val="single" w:sz="6" w:space="0" w:color="E7E7E7"/>
              <w:left w:val="single" w:sz="6" w:space="0" w:color="E7E7E7"/>
              <w:bottom w:val="nil"/>
            </w:tcBorders>
          </w:tcPr>
          <w:p w14:paraId="0EAABA0E" w14:textId="58A7EA24" w:rsidR="000A5135" w:rsidRDefault="000D0B1F">
            <w:pPr>
              <w:pStyle w:val="TableParagraph"/>
              <w:spacing w:before="68"/>
              <w:ind w:left="32"/>
              <w:rPr>
                <w:sz w:val="16"/>
              </w:rPr>
            </w:pPr>
            <w:r>
              <w:rPr>
                <w:sz w:val="16"/>
              </w:rPr>
              <w:t xml:space="preserve">85 </w:t>
            </w:r>
            <w:r w:rsidR="00D11455">
              <w:rPr>
                <w:sz w:val="16"/>
              </w:rPr>
              <w:t>K</w:t>
            </w:r>
          </w:p>
        </w:tc>
      </w:tr>
      <w:tr w:rsidR="000A5135" w14:paraId="6DF014A4" w14:textId="77777777">
        <w:trPr>
          <w:trHeight w:val="314"/>
        </w:trPr>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78C6795C" w14:textId="77777777" w:rsidR="000A5135" w:rsidRDefault="000D0B1F">
            <w:pPr>
              <w:pStyle w:val="TableParagraph"/>
              <w:rPr>
                <w:sz w:val="16"/>
              </w:rPr>
            </w:pPr>
            <w:r>
              <w:rPr>
                <w:sz w:val="16"/>
              </w:rPr>
              <w:t>chloor, Cl</w:t>
            </w:r>
            <w:r w:rsidRPr="0096224F">
              <w:rPr>
                <w:sz w:val="16"/>
                <w:vertAlign w:val="subscript"/>
              </w:rPr>
              <w:t>2</w:t>
            </w:r>
          </w:p>
        </w:tc>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712AAC30" w14:textId="77777777" w:rsidR="000A5135" w:rsidRDefault="000D0B1F">
            <w:pPr>
              <w:pStyle w:val="TableParagraph"/>
              <w:rPr>
                <w:sz w:val="16"/>
              </w:rPr>
            </w:pPr>
            <w:r>
              <w:rPr>
                <w:sz w:val="16"/>
              </w:rPr>
              <w:t>71 g/mol</w:t>
            </w:r>
          </w:p>
        </w:tc>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0D1CB1B0" w14:textId="7D8B10AB" w:rsidR="000A5135" w:rsidRDefault="000D0B1F">
            <w:pPr>
              <w:pStyle w:val="TableParagraph"/>
              <w:ind w:right="1"/>
              <w:rPr>
                <w:sz w:val="16"/>
              </w:rPr>
            </w:pPr>
            <w:r>
              <w:rPr>
                <w:sz w:val="16"/>
              </w:rPr>
              <w:t xml:space="preserve">99 </w:t>
            </w:r>
          </w:p>
        </w:tc>
        <w:tc>
          <w:tcPr>
            <w:tcW w:w="1957" w:type="dxa"/>
            <w:tcBorders>
              <w:top w:val="single" w:sz="12" w:space="0" w:color="E7E7E7"/>
              <w:left w:val="single" w:sz="12" w:space="0" w:color="E7E7E7"/>
              <w:bottom w:val="single" w:sz="12" w:space="0" w:color="E7E7E7"/>
              <w:right w:val="single" w:sz="6" w:space="0" w:color="E7E7E7"/>
            </w:tcBorders>
            <w:shd w:val="clear" w:color="auto" w:fill="EFEFEF"/>
          </w:tcPr>
          <w:p w14:paraId="20D97758" w14:textId="1E829048" w:rsidR="000A5135" w:rsidRDefault="000D0B1F">
            <w:pPr>
              <w:pStyle w:val="TableParagraph"/>
              <w:rPr>
                <w:sz w:val="16"/>
              </w:rPr>
            </w:pPr>
            <w:r>
              <w:rPr>
                <w:sz w:val="16"/>
              </w:rPr>
              <w:t>172</w:t>
            </w:r>
            <w:r w:rsidR="00D11455">
              <w:rPr>
                <w:sz w:val="16"/>
              </w:rPr>
              <w:t xml:space="preserve"> K</w:t>
            </w:r>
          </w:p>
        </w:tc>
        <w:tc>
          <w:tcPr>
            <w:tcW w:w="1979" w:type="dxa"/>
            <w:tcBorders>
              <w:top w:val="nil"/>
              <w:left w:val="single" w:sz="6" w:space="0" w:color="E7E7E7"/>
              <w:bottom w:val="nil"/>
            </w:tcBorders>
            <w:shd w:val="clear" w:color="auto" w:fill="EFEFEF"/>
          </w:tcPr>
          <w:p w14:paraId="51C42C9B" w14:textId="4F2D2E16" w:rsidR="000A5135" w:rsidRDefault="000D0B1F">
            <w:pPr>
              <w:pStyle w:val="TableParagraph"/>
              <w:ind w:left="32"/>
              <w:rPr>
                <w:sz w:val="16"/>
              </w:rPr>
            </w:pPr>
            <w:r>
              <w:rPr>
                <w:sz w:val="16"/>
              </w:rPr>
              <w:t xml:space="preserve">238 </w:t>
            </w:r>
            <w:r w:rsidR="00D11455">
              <w:rPr>
                <w:sz w:val="16"/>
              </w:rPr>
              <w:t>K</w:t>
            </w:r>
          </w:p>
        </w:tc>
      </w:tr>
      <w:tr w:rsidR="000A5135" w14:paraId="074033F7" w14:textId="77777777">
        <w:trPr>
          <w:trHeight w:val="314"/>
        </w:trPr>
        <w:tc>
          <w:tcPr>
            <w:tcW w:w="1950" w:type="dxa"/>
            <w:tcBorders>
              <w:top w:val="single" w:sz="12" w:space="0" w:color="E7E7E7"/>
              <w:left w:val="single" w:sz="12" w:space="0" w:color="E7E7E7"/>
              <w:bottom w:val="single" w:sz="12" w:space="0" w:color="E7E7E7"/>
              <w:right w:val="single" w:sz="12" w:space="0" w:color="E7E7E7"/>
            </w:tcBorders>
          </w:tcPr>
          <w:p w14:paraId="2E54CBB8" w14:textId="77777777" w:rsidR="000A5135" w:rsidRDefault="000D0B1F">
            <w:pPr>
              <w:pStyle w:val="TableParagraph"/>
              <w:rPr>
                <w:sz w:val="16"/>
              </w:rPr>
            </w:pPr>
            <w:r>
              <w:rPr>
                <w:sz w:val="16"/>
              </w:rPr>
              <w:t>broom, Br</w:t>
            </w:r>
            <w:r w:rsidRPr="0096224F">
              <w:rPr>
                <w:sz w:val="16"/>
                <w:vertAlign w:val="subscript"/>
              </w:rPr>
              <w:t>2</w:t>
            </w:r>
          </w:p>
        </w:tc>
        <w:tc>
          <w:tcPr>
            <w:tcW w:w="1950" w:type="dxa"/>
            <w:tcBorders>
              <w:top w:val="single" w:sz="12" w:space="0" w:color="E7E7E7"/>
              <w:left w:val="single" w:sz="12" w:space="0" w:color="E7E7E7"/>
              <w:bottom w:val="single" w:sz="12" w:space="0" w:color="E7E7E7"/>
              <w:right w:val="single" w:sz="12" w:space="0" w:color="E7E7E7"/>
            </w:tcBorders>
          </w:tcPr>
          <w:p w14:paraId="06181A4E" w14:textId="77777777" w:rsidR="000A5135" w:rsidRDefault="000D0B1F">
            <w:pPr>
              <w:pStyle w:val="TableParagraph"/>
              <w:rPr>
                <w:sz w:val="16"/>
              </w:rPr>
            </w:pPr>
            <w:r>
              <w:rPr>
                <w:sz w:val="16"/>
              </w:rPr>
              <w:t>160 g/mol</w:t>
            </w:r>
          </w:p>
        </w:tc>
        <w:tc>
          <w:tcPr>
            <w:tcW w:w="1950" w:type="dxa"/>
            <w:tcBorders>
              <w:top w:val="single" w:sz="12" w:space="0" w:color="E7E7E7"/>
              <w:left w:val="single" w:sz="12" w:space="0" w:color="E7E7E7"/>
              <w:bottom w:val="single" w:sz="12" w:space="0" w:color="E7E7E7"/>
              <w:right w:val="single" w:sz="12" w:space="0" w:color="E7E7E7"/>
            </w:tcBorders>
          </w:tcPr>
          <w:p w14:paraId="65B5C83F" w14:textId="5B0B793D" w:rsidR="000A5135" w:rsidRDefault="000D0B1F">
            <w:pPr>
              <w:pStyle w:val="TableParagraph"/>
              <w:ind w:right="1"/>
              <w:rPr>
                <w:sz w:val="16"/>
              </w:rPr>
            </w:pPr>
            <w:r>
              <w:rPr>
                <w:sz w:val="16"/>
              </w:rPr>
              <w:t xml:space="preserve">114 </w:t>
            </w:r>
          </w:p>
        </w:tc>
        <w:tc>
          <w:tcPr>
            <w:tcW w:w="1957" w:type="dxa"/>
            <w:tcBorders>
              <w:top w:val="single" w:sz="12" w:space="0" w:color="E7E7E7"/>
              <w:left w:val="single" w:sz="12" w:space="0" w:color="E7E7E7"/>
              <w:bottom w:val="single" w:sz="12" w:space="0" w:color="E7E7E7"/>
              <w:right w:val="single" w:sz="6" w:space="0" w:color="E7E7E7"/>
            </w:tcBorders>
          </w:tcPr>
          <w:p w14:paraId="09D015A5" w14:textId="11E5DEB8" w:rsidR="000A5135" w:rsidRDefault="000D0B1F">
            <w:pPr>
              <w:pStyle w:val="TableParagraph"/>
              <w:rPr>
                <w:sz w:val="16"/>
              </w:rPr>
            </w:pPr>
            <w:r>
              <w:rPr>
                <w:sz w:val="16"/>
              </w:rPr>
              <w:t xml:space="preserve">266 </w:t>
            </w:r>
            <w:r w:rsidR="00D11455">
              <w:rPr>
                <w:sz w:val="16"/>
              </w:rPr>
              <w:t>K</w:t>
            </w:r>
          </w:p>
        </w:tc>
        <w:tc>
          <w:tcPr>
            <w:tcW w:w="1979" w:type="dxa"/>
            <w:tcBorders>
              <w:top w:val="nil"/>
              <w:left w:val="single" w:sz="6" w:space="0" w:color="E7E7E7"/>
              <w:bottom w:val="nil"/>
            </w:tcBorders>
          </w:tcPr>
          <w:p w14:paraId="0EDB1EFB" w14:textId="59350C29" w:rsidR="000A5135" w:rsidRDefault="000D0B1F">
            <w:pPr>
              <w:pStyle w:val="TableParagraph"/>
              <w:ind w:left="32"/>
              <w:rPr>
                <w:sz w:val="16"/>
              </w:rPr>
            </w:pPr>
            <w:r>
              <w:rPr>
                <w:sz w:val="16"/>
              </w:rPr>
              <w:t xml:space="preserve">332 </w:t>
            </w:r>
            <w:r w:rsidR="00D11455">
              <w:rPr>
                <w:sz w:val="16"/>
              </w:rPr>
              <w:t>K</w:t>
            </w:r>
          </w:p>
        </w:tc>
      </w:tr>
      <w:tr w:rsidR="000A5135" w14:paraId="53D6218F" w14:textId="77777777">
        <w:trPr>
          <w:trHeight w:val="314"/>
        </w:trPr>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451647B9" w14:textId="77777777" w:rsidR="000A5135" w:rsidRDefault="000D0B1F">
            <w:pPr>
              <w:pStyle w:val="TableParagraph"/>
              <w:rPr>
                <w:sz w:val="16"/>
              </w:rPr>
            </w:pPr>
            <w:r>
              <w:rPr>
                <w:sz w:val="16"/>
              </w:rPr>
              <w:t>jodium, I</w:t>
            </w:r>
            <w:r w:rsidRPr="0096224F">
              <w:rPr>
                <w:sz w:val="16"/>
                <w:vertAlign w:val="subscript"/>
              </w:rPr>
              <w:t>2</w:t>
            </w:r>
          </w:p>
        </w:tc>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02CA5881" w14:textId="77777777" w:rsidR="000A5135" w:rsidRDefault="000D0B1F">
            <w:pPr>
              <w:pStyle w:val="TableParagraph"/>
              <w:rPr>
                <w:sz w:val="16"/>
              </w:rPr>
            </w:pPr>
            <w:r>
              <w:rPr>
                <w:sz w:val="16"/>
              </w:rPr>
              <w:t>254 g/mol</w:t>
            </w:r>
          </w:p>
        </w:tc>
        <w:tc>
          <w:tcPr>
            <w:tcW w:w="1950" w:type="dxa"/>
            <w:tcBorders>
              <w:top w:val="single" w:sz="12" w:space="0" w:color="E7E7E7"/>
              <w:left w:val="single" w:sz="12" w:space="0" w:color="E7E7E7"/>
              <w:bottom w:val="single" w:sz="12" w:space="0" w:color="E7E7E7"/>
              <w:right w:val="single" w:sz="12" w:space="0" w:color="E7E7E7"/>
            </w:tcBorders>
            <w:shd w:val="clear" w:color="auto" w:fill="EFEFEF"/>
          </w:tcPr>
          <w:p w14:paraId="27B20D9A" w14:textId="62370295" w:rsidR="000A5135" w:rsidRDefault="000D0B1F">
            <w:pPr>
              <w:pStyle w:val="TableParagraph"/>
              <w:ind w:right="1"/>
              <w:rPr>
                <w:sz w:val="16"/>
              </w:rPr>
            </w:pPr>
            <w:r>
              <w:rPr>
                <w:sz w:val="16"/>
              </w:rPr>
              <w:t xml:space="preserve">133 </w:t>
            </w:r>
          </w:p>
        </w:tc>
        <w:tc>
          <w:tcPr>
            <w:tcW w:w="1957" w:type="dxa"/>
            <w:tcBorders>
              <w:top w:val="single" w:sz="12" w:space="0" w:color="E7E7E7"/>
              <w:left w:val="single" w:sz="12" w:space="0" w:color="E7E7E7"/>
              <w:bottom w:val="single" w:sz="12" w:space="0" w:color="E7E7E7"/>
              <w:right w:val="single" w:sz="6" w:space="0" w:color="E7E7E7"/>
            </w:tcBorders>
            <w:shd w:val="clear" w:color="auto" w:fill="EFEFEF"/>
          </w:tcPr>
          <w:p w14:paraId="74C0A463" w14:textId="77777777" w:rsidR="000A5135" w:rsidRDefault="000D0B1F">
            <w:pPr>
              <w:pStyle w:val="TableParagraph"/>
              <w:rPr>
                <w:sz w:val="16"/>
              </w:rPr>
            </w:pPr>
            <w:r>
              <w:rPr>
                <w:sz w:val="16"/>
              </w:rPr>
              <w:t>387 K</w:t>
            </w:r>
          </w:p>
        </w:tc>
        <w:tc>
          <w:tcPr>
            <w:tcW w:w="1979" w:type="dxa"/>
            <w:tcBorders>
              <w:top w:val="nil"/>
              <w:left w:val="single" w:sz="6" w:space="0" w:color="E7E7E7"/>
              <w:bottom w:val="nil"/>
            </w:tcBorders>
            <w:shd w:val="clear" w:color="auto" w:fill="EFEFEF"/>
          </w:tcPr>
          <w:p w14:paraId="1D6F59D6" w14:textId="77777777" w:rsidR="000A5135" w:rsidRDefault="000D0B1F">
            <w:pPr>
              <w:pStyle w:val="TableParagraph"/>
              <w:ind w:left="32"/>
              <w:rPr>
                <w:sz w:val="16"/>
              </w:rPr>
            </w:pPr>
            <w:r>
              <w:rPr>
                <w:sz w:val="16"/>
              </w:rPr>
              <w:t>457 K</w:t>
            </w:r>
          </w:p>
        </w:tc>
      </w:tr>
      <w:tr w:rsidR="000A5135" w14:paraId="2E12A6DA" w14:textId="77777777">
        <w:trPr>
          <w:trHeight w:val="314"/>
        </w:trPr>
        <w:tc>
          <w:tcPr>
            <w:tcW w:w="1950" w:type="dxa"/>
            <w:tcBorders>
              <w:top w:val="single" w:sz="12" w:space="0" w:color="E7E7E7"/>
              <w:left w:val="single" w:sz="12" w:space="0" w:color="E7E7E7"/>
              <w:bottom w:val="single" w:sz="12" w:space="0" w:color="E7E7E7"/>
              <w:right w:val="single" w:sz="12" w:space="0" w:color="E7E7E7"/>
            </w:tcBorders>
          </w:tcPr>
          <w:p w14:paraId="58D25B57" w14:textId="77777777" w:rsidR="000A5135" w:rsidRDefault="000D0B1F">
            <w:pPr>
              <w:pStyle w:val="TableParagraph"/>
              <w:ind w:right="1"/>
              <w:rPr>
                <w:sz w:val="16"/>
              </w:rPr>
            </w:pPr>
            <w:r>
              <w:rPr>
                <w:sz w:val="16"/>
              </w:rPr>
              <w:t>astatine, At</w:t>
            </w:r>
            <w:r w:rsidRPr="0096224F">
              <w:rPr>
                <w:sz w:val="16"/>
                <w:vertAlign w:val="subscript"/>
              </w:rPr>
              <w:t>2</w:t>
            </w:r>
          </w:p>
        </w:tc>
        <w:tc>
          <w:tcPr>
            <w:tcW w:w="1950" w:type="dxa"/>
            <w:tcBorders>
              <w:top w:val="single" w:sz="12" w:space="0" w:color="E7E7E7"/>
              <w:left w:val="single" w:sz="12" w:space="0" w:color="E7E7E7"/>
              <w:bottom w:val="single" w:sz="12" w:space="0" w:color="E7E7E7"/>
              <w:right w:val="single" w:sz="12" w:space="0" w:color="E7E7E7"/>
            </w:tcBorders>
          </w:tcPr>
          <w:p w14:paraId="19070421" w14:textId="77777777" w:rsidR="000A5135" w:rsidRDefault="000D0B1F">
            <w:pPr>
              <w:pStyle w:val="TableParagraph"/>
              <w:rPr>
                <w:sz w:val="16"/>
              </w:rPr>
            </w:pPr>
            <w:r>
              <w:rPr>
                <w:sz w:val="16"/>
              </w:rPr>
              <w:t>420 g/mol</w:t>
            </w:r>
          </w:p>
        </w:tc>
        <w:tc>
          <w:tcPr>
            <w:tcW w:w="1950" w:type="dxa"/>
            <w:tcBorders>
              <w:top w:val="single" w:sz="12" w:space="0" w:color="E7E7E7"/>
              <w:left w:val="single" w:sz="12" w:space="0" w:color="E7E7E7"/>
              <w:bottom w:val="single" w:sz="12" w:space="0" w:color="E7E7E7"/>
              <w:right w:val="single" w:sz="12" w:space="0" w:color="E7E7E7"/>
            </w:tcBorders>
          </w:tcPr>
          <w:p w14:paraId="3D363291" w14:textId="736AFDC5" w:rsidR="000A5135" w:rsidRDefault="000D0B1F">
            <w:pPr>
              <w:pStyle w:val="TableParagraph"/>
              <w:ind w:right="1"/>
              <w:rPr>
                <w:sz w:val="16"/>
              </w:rPr>
            </w:pPr>
            <w:r>
              <w:rPr>
                <w:sz w:val="16"/>
              </w:rPr>
              <w:t xml:space="preserve">150 </w:t>
            </w:r>
          </w:p>
        </w:tc>
        <w:tc>
          <w:tcPr>
            <w:tcW w:w="1957" w:type="dxa"/>
            <w:tcBorders>
              <w:top w:val="single" w:sz="12" w:space="0" w:color="E7E7E7"/>
              <w:left w:val="single" w:sz="12" w:space="0" w:color="E7E7E7"/>
              <w:bottom w:val="single" w:sz="12" w:space="0" w:color="E7E7E7"/>
              <w:right w:val="single" w:sz="6" w:space="0" w:color="E7E7E7"/>
            </w:tcBorders>
          </w:tcPr>
          <w:p w14:paraId="633EB094" w14:textId="77777777" w:rsidR="000A5135" w:rsidRDefault="000D0B1F">
            <w:pPr>
              <w:pStyle w:val="TableParagraph"/>
              <w:rPr>
                <w:sz w:val="16"/>
              </w:rPr>
            </w:pPr>
            <w:r>
              <w:rPr>
                <w:sz w:val="16"/>
              </w:rPr>
              <w:t>575 K</w:t>
            </w:r>
          </w:p>
        </w:tc>
        <w:tc>
          <w:tcPr>
            <w:tcW w:w="1979" w:type="dxa"/>
            <w:tcBorders>
              <w:top w:val="nil"/>
              <w:left w:val="single" w:sz="6" w:space="0" w:color="E7E7E7"/>
            </w:tcBorders>
          </w:tcPr>
          <w:p w14:paraId="7708F7AD" w14:textId="2600ADAF" w:rsidR="000A5135" w:rsidRDefault="000D0B1F">
            <w:pPr>
              <w:pStyle w:val="TableParagraph"/>
              <w:ind w:left="32"/>
              <w:rPr>
                <w:sz w:val="16"/>
              </w:rPr>
            </w:pPr>
            <w:r>
              <w:rPr>
                <w:sz w:val="16"/>
              </w:rPr>
              <w:t xml:space="preserve">610 </w:t>
            </w:r>
            <w:r w:rsidR="00D11455">
              <w:rPr>
                <w:sz w:val="16"/>
              </w:rPr>
              <w:t>K</w:t>
            </w:r>
          </w:p>
        </w:tc>
      </w:tr>
    </w:tbl>
    <w:p w14:paraId="06DB59B4" w14:textId="77777777" w:rsidR="000A5135" w:rsidRPr="009A4532" w:rsidRDefault="000D0B1F">
      <w:pPr>
        <w:pStyle w:val="Plattetekst"/>
        <w:spacing w:line="280" w:lineRule="auto"/>
        <w:ind w:left="335" w:right="341"/>
        <w:jc w:val="both"/>
        <w:rPr>
          <w:lang w:val="nl-BE"/>
        </w:rPr>
      </w:pPr>
      <w:r w:rsidRPr="009A4532">
        <w:rPr>
          <w:lang w:val="nl-BE"/>
        </w:rPr>
        <w:t>De toename van het smelt- en kookpunt met toenemende atomaire/moleculaire grootte kan worden gerationaliseerd door na te gaan hoe de sterkte van de dispersiekrachten wordt beïnvloed door de elektronische structuur van de atomen of moleculen in de stof. In een groter atoom is de</w:t>
      </w:r>
    </w:p>
    <w:p w14:paraId="280D1281" w14:textId="77777777" w:rsidR="000A5135" w:rsidRPr="009A4532" w:rsidRDefault="000A5135">
      <w:pPr>
        <w:pStyle w:val="Plattetekst"/>
        <w:spacing w:line="280" w:lineRule="auto"/>
        <w:jc w:val="both"/>
        <w:rPr>
          <w:lang w:val="nl-BE"/>
        </w:rPr>
        <w:sectPr w:rsidR="000A5135" w:rsidRPr="009A4532">
          <w:pgSz w:w="12240" w:h="15840"/>
          <w:pgMar w:top="980" w:right="720" w:bottom="760" w:left="720" w:header="437" w:footer="560" w:gutter="0"/>
          <w:cols w:space="708"/>
        </w:sectPr>
      </w:pPr>
    </w:p>
    <w:p w14:paraId="3E1DBDE8" w14:textId="479F3E35" w:rsidR="000A5135" w:rsidRPr="009A4532" w:rsidRDefault="000D0B1F" w:rsidP="00CE544B">
      <w:pPr>
        <w:pStyle w:val="Plattetekst"/>
        <w:spacing w:before="83" w:line="280" w:lineRule="auto"/>
        <w:ind w:left="335" w:right="337"/>
        <w:jc w:val="both"/>
        <w:rPr>
          <w:sz w:val="10"/>
          <w:lang w:val="nl-BE"/>
        </w:rPr>
      </w:pPr>
      <w:r w:rsidRPr="009A4532">
        <w:rPr>
          <w:lang w:val="nl-BE"/>
        </w:rPr>
        <w:lastRenderedPageBreak/>
        <w:t xml:space="preserve">Valentie-elektronen bevinden zich gemiddeld verder van de kernen dan in een kleiner atoom. Ze worden dus minder stevig vastgehouden en kunnen gemakkelijker de tijdelijke dipolen vormen die de aantrekkingskracht veroorzaken. De maat voor hoe gemakkelijk of moeilijk het is voor een andere elektrostatische lading (bijvoorbeeld een nabijgelegen ion of polair molecuul) om de ladingsverdeling van een molecuul (de elektronenwolk) te verstoren, staat bekend als polariseerbaarheid. Van een molecuul met een ladingswolk die gemakkelijk kan worden vervormd, wordt gezegd dat het zeer </w:t>
      </w:r>
      <w:proofErr w:type="spellStart"/>
      <w:r w:rsidRPr="009A4532">
        <w:rPr>
          <w:lang w:val="nl-BE"/>
        </w:rPr>
        <w:t>polariseerbaar</w:t>
      </w:r>
      <w:proofErr w:type="spellEnd"/>
      <w:r w:rsidRPr="009A4532">
        <w:rPr>
          <w:lang w:val="nl-BE"/>
        </w:rPr>
        <w:t xml:space="preserve"> is en grote dispersiekrachten zal hebben; Een met een ladingswolk die moeilijk te vervormen is, is niet erg </w:t>
      </w:r>
      <w:proofErr w:type="spellStart"/>
      <w:r w:rsidRPr="009A4532">
        <w:rPr>
          <w:lang w:val="nl-BE"/>
        </w:rPr>
        <w:t>polariseerbaar</w:t>
      </w:r>
      <w:proofErr w:type="spellEnd"/>
      <w:r w:rsidRPr="009A4532">
        <w:rPr>
          <w:lang w:val="nl-BE"/>
        </w:rPr>
        <w:t xml:space="preserve"> en zal kleine verspreidingskrachten hebben.</w:t>
      </w:r>
      <w:r w:rsidR="00CE544B" w:rsidRPr="009A4532">
        <w:rPr>
          <w:sz w:val="10"/>
          <w:lang w:val="nl-BE"/>
        </w:rPr>
        <w:t xml:space="preserve"> </w:t>
      </w:r>
    </w:p>
    <w:p w14:paraId="160B41F4" w14:textId="77777777" w:rsidR="000A5135" w:rsidRPr="009A4532" w:rsidRDefault="000A5135">
      <w:pPr>
        <w:pStyle w:val="Plattetekst"/>
        <w:spacing w:before="11"/>
        <w:rPr>
          <w:sz w:val="10"/>
          <w:lang w:val="nl-BE"/>
        </w:rPr>
      </w:pPr>
    </w:p>
    <w:p w14:paraId="42F13937" w14:textId="75027703" w:rsidR="000A5135" w:rsidRPr="009A4532" w:rsidRDefault="000D0B1F" w:rsidP="00F97CB0">
      <w:pPr>
        <w:pStyle w:val="Plattetekst"/>
        <w:spacing w:before="167" w:line="278" w:lineRule="auto"/>
        <w:ind w:left="335" w:right="334"/>
        <w:jc w:val="both"/>
        <w:rPr>
          <w:lang w:val="nl-BE"/>
        </w:rPr>
      </w:pPr>
      <w:r w:rsidRPr="009A4532">
        <w:rPr>
          <w:lang w:val="nl-BE"/>
        </w:rPr>
        <w:t xml:space="preserve">De vormen van moleculen beïnvloeden ook de grootte van de dispersiekrachten tussen hen. Het kookpunt voor de isomeren n-pentaan, </w:t>
      </w:r>
      <w:proofErr w:type="spellStart"/>
      <w:r w:rsidRPr="009A4532">
        <w:rPr>
          <w:lang w:val="nl-BE"/>
        </w:rPr>
        <w:t>isopentaan</w:t>
      </w:r>
      <w:proofErr w:type="spellEnd"/>
      <w:r w:rsidRPr="009A4532">
        <w:rPr>
          <w:lang w:val="nl-BE"/>
        </w:rPr>
        <w:t xml:space="preserve"> en </w:t>
      </w:r>
      <w:proofErr w:type="spellStart"/>
      <w:r w:rsidRPr="009A4532">
        <w:rPr>
          <w:lang w:val="nl-BE"/>
        </w:rPr>
        <w:t>neopentaan</w:t>
      </w:r>
      <w:proofErr w:type="spellEnd"/>
      <w:r w:rsidRPr="009A4532">
        <w:rPr>
          <w:lang w:val="nl-BE"/>
        </w:rPr>
        <w:t xml:space="preserve"> (weergegeven in figuur </w:t>
      </w:r>
      <w:r w:rsidRPr="009A4532">
        <w:rPr>
          <w:sz w:val="20"/>
          <w:lang w:val="nl-BE"/>
        </w:rPr>
        <w:t>7.2.6</w:t>
      </w:r>
      <w:r w:rsidRPr="009A4532">
        <w:rPr>
          <w:lang w:val="nl-BE"/>
        </w:rPr>
        <w:t>) is bijvoorbeeld respectievelijk 36 °C, 27 °C en 9,5 °C. Hoewel deze verbindingen zijn samengesteld uit moleculen met dezelfde chemische formule, C</w:t>
      </w:r>
      <w:r w:rsidRPr="00F97CB0">
        <w:rPr>
          <w:vertAlign w:val="subscript"/>
          <w:lang w:val="nl-BE"/>
        </w:rPr>
        <w:t>5</w:t>
      </w:r>
      <w:r w:rsidRPr="009A4532">
        <w:rPr>
          <w:lang w:val="nl-BE"/>
        </w:rPr>
        <w:t>H</w:t>
      </w:r>
      <w:r w:rsidRPr="00F97CB0">
        <w:rPr>
          <w:vertAlign w:val="subscript"/>
          <w:lang w:val="nl-BE"/>
        </w:rPr>
        <w:t>12</w:t>
      </w:r>
      <w:r w:rsidRPr="009A4532">
        <w:rPr>
          <w:lang w:val="nl-BE"/>
        </w:rPr>
        <w:t xml:space="preserve">, suggereert het verschil in kookpunten dat de dispersiekrachten in de vloeibare fase verschillend zijn, namelijk het grootst voor n-pentaan en het minst voor </w:t>
      </w:r>
      <w:proofErr w:type="spellStart"/>
      <w:r w:rsidRPr="009A4532">
        <w:rPr>
          <w:lang w:val="nl-BE"/>
        </w:rPr>
        <w:t>neopentaan</w:t>
      </w:r>
      <w:proofErr w:type="spellEnd"/>
      <w:r w:rsidRPr="009A4532">
        <w:rPr>
          <w:lang w:val="nl-BE"/>
        </w:rPr>
        <w:t xml:space="preserve">. De langwerpige vorm van n-pentaan zorgt voor een groter oppervlak dat beschikbaar is voor contact tussen moleculen, wat resulteert in dienovereenkomstig sterkere dispersiekrachten. De compactere vorm van </w:t>
      </w:r>
      <w:proofErr w:type="spellStart"/>
      <w:r w:rsidRPr="009A4532">
        <w:rPr>
          <w:lang w:val="nl-BE"/>
        </w:rPr>
        <w:t>isopentaan</w:t>
      </w:r>
      <w:proofErr w:type="spellEnd"/>
      <w:r w:rsidRPr="009A4532">
        <w:rPr>
          <w:lang w:val="nl-BE"/>
        </w:rPr>
        <w:t xml:space="preserve"> biedt een kleiner oppervlak dat beschikbaar is voor intermoleculair contact en dus</w:t>
      </w:r>
      <w:r w:rsidR="00F97CB0">
        <w:rPr>
          <w:lang w:val="nl-BE"/>
        </w:rPr>
        <w:t xml:space="preserve"> </w:t>
      </w:r>
      <w:r w:rsidRPr="009A4532">
        <w:rPr>
          <w:lang w:val="nl-BE"/>
        </w:rPr>
        <w:t xml:space="preserve">zwakkere dispersiekrachten. </w:t>
      </w:r>
      <w:proofErr w:type="spellStart"/>
      <w:r w:rsidRPr="009A4532">
        <w:rPr>
          <w:lang w:val="nl-BE"/>
        </w:rPr>
        <w:t>Neopentaanmoleculen</w:t>
      </w:r>
      <w:proofErr w:type="spellEnd"/>
      <w:r w:rsidRPr="009A4532">
        <w:rPr>
          <w:lang w:val="nl-BE"/>
        </w:rPr>
        <w:t xml:space="preserve"> zijn de meest compacte van de drie en bieden het kleinste beschikbare oppervlak voor intermoleculair contact en dus de zwakste dispersiekrachten. Dit gedrag is analoog aan de verbindingen die kunnen worden gevormd tussen stroken klittenbandsluitingen: hoe groter het contactoppervlak van de strip, hoe sterker de verbinding.</w:t>
      </w:r>
    </w:p>
    <w:p w14:paraId="3B2CCB8C" w14:textId="77777777" w:rsidR="000A5135" w:rsidRPr="009A4532" w:rsidRDefault="000D0B1F">
      <w:pPr>
        <w:pStyle w:val="Plattetekst"/>
        <w:spacing w:before="4"/>
        <w:rPr>
          <w:sz w:val="5"/>
          <w:lang w:val="nl-BE"/>
        </w:rPr>
      </w:pPr>
      <w:r>
        <w:rPr>
          <w:noProof/>
          <w:sz w:val="5"/>
        </w:rPr>
        <w:drawing>
          <wp:anchor distT="0" distB="0" distL="0" distR="0" simplePos="0" relativeHeight="487591936" behindDoc="1" locked="0" layoutInCell="1" allowOverlap="1" wp14:anchorId="0133227A" wp14:editId="21BE5FFD">
            <wp:simplePos x="0" y="0"/>
            <wp:positionH relativeFrom="page">
              <wp:posOffset>1924784</wp:posOffset>
            </wp:positionH>
            <wp:positionV relativeFrom="paragraph">
              <wp:posOffset>54751</wp:posOffset>
            </wp:positionV>
            <wp:extent cx="4030856" cy="2854071"/>
            <wp:effectExtent l="0" t="0" r="0" b="0"/>
            <wp:wrapTopAndBottom/>
            <wp:docPr id="40" name="Imag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pic:cNvPicPr/>
                  </pic:nvPicPr>
                  <pic:blipFill>
                    <a:blip r:embed="rId17" cstate="print"/>
                    <a:stretch>
                      <a:fillRect/>
                    </a:stretch>
                  </pic:blipFill>
                  <pic:spPr>
                    <a:xfrm>
                      <a:off x="0" y="0"/>
                      <a:ext cx="4030856" cy="2854071"/>
                    </a:xfrm>
                    <a:prstGeom prst="rect">
                      <a:avLst/>
                    </a:prstGeom>
                  </pic:spPr>
                </pic:pic>
              </a:graphicData>
            </a:graphic>
          </wp:anchor>
        </w:drawing>
      </w:r>
    </w:p>
    <w:p w14:paraId="0C30BCEE" w14:textId="31F02E82" w:rsidR="000A5135" w:rsidRPr="009A4532" w:rsidRDefault="000D0B1F" w:rsidP="00CE544B">
      <w:pPr>
        <w:spacing w:before="34" w:line="237" w:lineRule="auto"/>
        <w:ind w:left="842" w:right="501"/>
        <w:rPr>
          <w:lang w:val="nl-BE"/>
        </w:rPr>
      </w:pPr>
      <w:r w:rsidRPr="009A4532">
        <w:rPr>
          <w:sz w:val="17"/>
          <w:lang w:val="nl-BE"/>
        </w:rPr>
        <w:t xml:space="preserve">Figuur </w:t>
      </w:r>
      <w:r w:rsidRPr="009A4532">
        <w:rPr>
          <w:sz w:val="18"/>
          <w:lang w:val="nl-BE"/>
        </w:rPr>
        <w:t>7.2.6</w:t>
      </w:r>
      <w:r w:rsidRPr="009A4532">
        <w:rPr>
          <w:sz w:val="17"/>
          <w:lang w:val="nl-BE"/>
        </w:rPr>
        <w:t>: De sterkte van de dispersiekrachten neemt toe met het contactoppervlak tussen de moleculen, zoals blijkt uit de kookpunten van deze pentaanisomeren.</w:t>
      </w:r>
    </w:p>
    <w:p w14:paraId="44CCB5DA" w14:textId="1834490C" w:rsidR="000A5135" w:rsidRPr="009A4532" w:rsidRDefault="00774BD5" w:rsidP="00F21329">
      <w:pPr>
        <w:rPr>
          <w:lang w:val="nl-BE"/>
        </w:rPr>
      </w:pPr>
      <w:r>
        <w:rPr>
          <w:i/>
          <w:lang w:val="nl-BE"/>
        </w:rPr>
        <w:t>P</w:t>
      </w:r>
      <w:r w:rsidR="000D0B1F" w:rsidRPr="009A4532">
        <w:rPr>
          <w:i/>
          <w:lang w:val="nl-BE"/>
        </w:rPr>
        <w:t xml:space="preserve">olaire </w:t>
      </w:r>
      <w:r w:rsidR="000D0B1F" w:rsidRPr="009A4532">
        <w:rPr>
          <w:lang w:val="nl-BE"/>
        </w:rPr>
        <w:t xml:space="preserve">moleculen </w:t>
      </w:r>
      <w:r>
        <w:rPr>
          <w:lang w:val="nl-BE"/>
        </w:rPr>
        <w:t xml:space="preserve">hebben </w:t>
      </w:r>
      <w:r w:rsidR="000D0B1F" w:rsidRPr="009A4532">
        <w:rPr>
          <w:lang w:val="nl-BE"/>
        </w:rPr>
        <w:t xml:space="preserve">aan de ene kant een gedeeltelijke positieve lading en aan de andere kant van het molecuul een gedeeltelijke negatieve lading - een scheiding van lading die een </w:t>
      </w:r>
      <w:r w:rsidR="000D0B1F" w:rsidRPr="009A4532">
        <w:rPr>
          <w:i/>
          <w:lang w:val="nl-BE"/>
        </w:rPr>
        <w:t>dipool wordt genoemd</w:t>
      </w:r>
      <w:r w:rsidR="000D0B1F" w:rsidRPr="009A4532">
        <w:rPr>
          <w:lang w:val="nl-BE"/>
        </w:rPr>
        <w:t xml:space="preserve">. Beschouw een polair molecuul zoals waterstofchloride, </w:t>
      </w:r>
      <w:proofErr w:type="spellStart"/>
      <w:r w:rsidR="000D0B1F" w:rsidRPr="009A4532">
        <w:rPr>
          <w:lang w:val="nl-BE"/>
        </w:rPr>
        <w:t>HCl</w:t>
      </w:r>
      <w:proofErr w:type="spellEnd"/>
      <w:r w:rsidR="000D0B1F" w:rsidRPr="009A4532">
        <w:rPr>
          <w:lang w:val="nl-BE"/>
        </w:rPr>
        <w:t xml:space="preserve">. In het </w:t>
      </w:r>
      <w:proofErr w:type="spellStart"/>
      <w:r w:rsidR="000D0B1F" w:rsidRPr="009A4532">
        <w:rPr>
          <w:lang w:val="nl-BE"/>
        </w:rPr>
        <w:t>HCl</w:t>
      </w:r>
      <w:proofErr w:type="spellEnd"/>
      <w:r w:rsidR="000D0B1F" w:rsidRPr="009A4532">
        <w:rPr>
          <w:lang w:val="nl-BE"/>
        </w:rPr>
        <w:t xml:space="preserve">-molecuul draagt het meer elektronegatieve Cl-atoom de gedeeltelijke negatieve lading, terwijl het minder elektronegatieve H-atoom de gedeeltelijke positieve lading draagt. Een aantrekkingskracht tussen </w:t>
      </w:r>
      <w:proofErr w:type="spellStart"/>
      <w:r w:rsidR="000D0B1F" w:rsidRPr="009A4532">
        <w:rPr>
          <w:lang w:val="nl-BE"/>
        </w:rPr>
        <w:t>HCl</w:t>
      </w:r>
      <w:proofErr w:type="spellEnd"/>
      <w:r w:rsidR="000D0B1F" w:rsidRPr="009A4532">
        <w:rPr>
          <w:lang w:val="nl-BE"/>
        </w:rPr>
        <w:t xml:space="preserve">-moleculen is het resultaat van de aantrekkingskracht tussen het positieve uiteinde van het ene </w:t>
      </w:r>
      <w:proofErr w:type="spellStart"/>
      <w:r w:rsidR="000D0B1F" w:rsidRPr="009A4532">
        <w:rPr>
          <w:lang w:val="nl-BE"/>
        </w:rPr>
        <w:t>HCl</w:t>
      </w:r>
      <w:proofErr w:type="spellEnd"/>
      <w:r w:rsidR="000D0B1F" w:rsidRPr="009A4532">
        <w:rPr>
          <w:lang w:val="nl-BE"/>
        </w:rPr>
        <w:t xml:space="preserve">-molecuul en het negatieve uiteinde van een ander. Deze aantrekkingskracht wordt een dipool-dipoolaantrekkingskracht genoemd - de elektrostatische kracht tussen het gedeeltelijk positieve uiteinde van het ene polaire molecuul en het gedeeltelijk negatieve uiteinde van een ander, zoals geïllustreerd in figuur </w:t>
      </w:r>
      <w:r w:rsidR="000D0B1F" w:rsidRPr="009A4532">
        <w:rPr>
          <w:sz w:val="20"/>
          <w:lang w:val="nl-BE"/>
        </w:rPr>
        <w:t>7.2.8</w:t>
      </w:r>
      <w:r w:rsidR="000D0B1F" w:rsidRPr="009A4532">
        <w:rPr>
          <w:lang w:val="nl-BE"/>
        </w:rPr>
        <w:t>.</w:t>
      </w:r>
    </w:p>
    <w:p w14:paraId="7C69394B" w14:textId="77777777" w:rsidR="000A5135" w:rsidRPr="009A4532" w:rsidRDefault="000D0B1F">
      <w:pPr>
        <w:pStyle w:val="Plattetekst"/>
        <w:spacing w:before="4"/>
        <w:rPr>
          <w:sz w:val="5"/>
          <w:lang w:val="nl-BE"/>
        </w:rPr>
      </w:pPr>
      <w:r>
        <w:rPr>
          <w:noProof/>
          <w:sz w:val="5"/>
        </w:rPr>
        <w:drawing>
          <wp:anchor distT="0" distB="0" distL="0" distR="0" simplePos="0" relativeHeight="487594496" behindDoc="1" locked="0" layoutInCell="1" allowOverlap="1" wp14:anchorId="12A14B2B" wp14:editId="50CD7242">
            <wp:simplePos x="0" y="0"/>
            <wp:positionH relativeFrom="page">
              <wp:posOffset>1781175</wp:posOffset>
            </wp:positionH>
            <wp:positionV relativeFrom="paragraph">
              <wp:posOffset>54366</wp:posOffset>
            </wp:positionV>
            <wp:extent cx="4235231" cy="1016508"/>
            <wp:effectExtent l="0" t="0" r="0" b="0"/>
            <wp:wrapTopAndBottom/>
            <wp:docPr id="56"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18" cstate="print"/>
                    <a:stretch>
                      <a:fillRect/>
                    </a:stretch>
                  </pic:blipFill>
                  <pic:spPr>
                    <a:xfrm>
                      <a:off x="0" y="0"/>
                      <a:ext cx="4235231" cy="1016508"/>
                    </a:xfrm>
                    <a:prstGeom prst="rect">
                      <a:avLst/>
                    </a:prstGeom>
                  </pic:spPr>
                </pic:pic>
              </a:graphicData>
            </a:graphic>
          </wp:anchor>
        </w:drawing>
      </w:r>
    </w:p>
    <w:p w14:paraId="6BC7EEED" w14:textId="77777777" w:rsidR="000A5135" w:rsidRPr="009A4532" w:rsidRDefault="000D0B1F">
      <w:pPr>
        <w:spacing w:before="33" w:line="237" w:lineRule="auto"/>
        <w:ind w:left="842" w:right="501"/>
        <w:rPr>
          <w:sz w:val="17"/>
          <w:lang w:val="nl-BE"/>
        </w:rPr>
      </w:pPr>
      <w:r w:rsidRPr="009A4532">
        <w:rPr>
          <w:sz w:val="17"/>
          <w:lang w:val="nl-BE"/>
        </w:rPr>
        <w:t xml:space="preserve">Figuur </w:t>
      </w:r>
      <w:r w:rsidRPr="009A4532">
        <w:rPr>
          <w:sz w:val="18"/>
          <w:lang w:val="nl-BE"/>
        </w:rPr>
        <w:t>7.2.8</w:t>
      </w:r>
      <w:r w:rsidRPr="009A4532">
        <w:rPr>
          <w:sz w:val="17"/>
          <w:lang w:val="nl-BE"/>
        </w:rPr>
        <w:t xml:space="preserve">: Deze afbeelding toont twee opstellingen van polaire moleculen, zoals </w:t>
      </w:r>
      <w:proofErr w:type="spellStart"/>
      <w:r w:rsidRPr="009A4532">
        <w:rPr>
          <w:sz w:val="17"/>
          <w:lang w:val="nl-BE"/>
        </w:rPr>
        <w:t>HCl</w:t>
      </w:r>
      <w:proofErr w:type="spellEnd"/>
      <w:r w:rsidRPr="009A4532">
        <w:rPr>
          <w:sz w:val="17"/>
          <w:lang w:val="nl-BE"/>
        </w:rPr>
        <w:t>, die een aantrekkingskracht mogelijk maken tussen het gedeeltelijke negatieve uiteinde van het ene molecuul en het gedeeltelijk positieve uiteinde van een ander molecuul.</w:t>
      </w:r>
    </w:p>
    <w:p w14:paraId="77B05F61" w14:textId="72393B46" w:rsidR="000A5135" w:rsidRPr="009A4532" w:rsidRDefault="000D0B1F" w:rsidP="00F97CB0">
      <w:pPr>
        <w:pStyle w:val="Plattetekst"/>
        <w:spacing w:before="100" w:line="280" w:lineRule="auto"/>
        <w:ind w:left="335" w:right="339"/>
        <w:rPr>
          <w:lang w:val="nl-BE"/>
        </w:rPr>
        <w:sectPr w:rsidR="000A5135" w:rsidRPr="009A4532">
          <w:pgSz w:w="12240" w:h="15840"/>
          <w:pgMar w:top="980" w:right="720" w:bottom="760" w:left="720" w:header="437" w:footer="560" w:gutter="0"/>
          <w:cols w:space="708"/>
        </w:sectPr>
      </w:pPr>
      <w:r w:rsidRPr="009A4532">
        <w:rPr>
          <w:lang w:val="nl-BE"/>
        </w:rPr>
        <w:t xml:space="preserve">Het effect van een dipool-dipoolaantrekkingskracht wordt duidelijk wanneer we de eigenschappen van </w:t>
      </w:r>
      <w:proofErr w:type="spellStart"/>
      <w:r w:rsidRPr="009A4532">
        <w:rPr>
          <w:lang w:val="nl-BE"/>
        </w:rPr>
        <w:t>HCl</w:t>
      </w:r>
      <w:proofErr w:type="spellEnd"/>
      <w:r w:rsidRPr="009A4532">
        <w:rPr>
          <w:lang w:val="nl-BE"/>
        </w:rPr>
        <w:t xml:space="preserve">-moleculen vergelijken </w:t>
      </w:r>
      <w:r w:rsidRPr="009A4532">
        <w:rPr>
          <w:lang w:val="nl-BE"/>
        </w:rPr>
        <w:lastRenderedPageBreak/>
        <w:t xml:space="preserve">met niet-polaire F2-moleculen. Zowel </w:t>
      </w:r>
      <w:proofErr w:type="spellStart"/>
      <w:r w:rsidRPr="009A4532">
        <w:rPr>
          <w:lang w:val="nl-BE"/>
        </w:rPr>
        <w:t>HCl</w:t>
      </w:r>
      <w:proofErr w:type="spellEnd"/>
      <w:r w:rsidRPr="009A4532">
        <w:rPr>
          <w:lang w:val="nl-BE"/>
        </w:rPr>
        <w:t xml:space="preserve"> als F</w:t>
      </w:r>
      <w:r w:rsidRPr="00F97CB0">
        <w:rPr>
          <w:vertAlign w:val="subscript"/>
          <w:lang w:val="nl-BE"/>
        </w:rPr>
        <w:t>2</w:t>
      </w:r>
      <w:r w:rsidRPr="009A4532">
        <w:rPr>
          <w:lang w:val="nl-BE"/>
        </w:rPr>
        <w:t xml:space="preserve"> bestaan uit hetzelfde aantal atomen en hebben ongeveer dezelfde molecuulmassa. Bij een temperatuur van 150 K zouden moleculen van beide stoffen dezelfde gemiddelde KE hebben. De dipool-dipoolaantrekkingskrachten tussen </w:t>
      </w:r>
      <w:proofErr w:type="spellStart"/>
      <w:r w:rsidRPr="009A4532">
        <w:rPr>
          <w:lang w:val="nl-BE"/>
        </w:rPr>
        <w:t>HCl</w:t>
      </w:r>
      <w:proofErr w:type="spellEnd"/>
      <w:r w:rsidRPr="009A4532">
        <w:rPr>
          <w:lang w:val="nl-BE"/>
        </w:rPr>
        <w:t>-moleculen zijn echter voldoende om ze "aan elkaar te laten plakken" om een vloeistof te vormen, terwijl de relatief zwakkere dispersiekrachten tussen niet-polaire F</w:t>
      </w:r>
      <w:r w:rsidRPr="00F97CB0">
        <w:rPr>
          <w:vertAlign w:val="subscript"/>
          <w:lang w:val="nl-BE"/>
        </w:rPr>
        <w:t>2</w:t>
      </w:r>
      <w:r w:rsidRPr="009A4532">
        <w:rPr>
          <w:lang w:val="nl-BE"/>
        </w:rPr>
        <w:t>-moleculen</w:t>
      </w:r>
      <w:r w:rsidRPr="009A4532">
        <w:rPr>
          <w:vertAlign w:val="subscript"/>
          <w:lang w:val="nl-BE"/>
        </w:rPr>
        <w:t xml:space="preserve"> </w:t>
      </w:r>
      <w:r w:rsidRPr="009A4532">
        <w:rPr>
          <w:lang w:val="nl-BE"/>
        </w:rPr>
        <w:t xml:space="preserve">dat niet zijn, en dus is deze stof gasvormig bij deze temperatuur. Het hogere normale kookpunt van </w:t>
      </w:r>
      <w:proofErr w:type="spellStart"/>
      <w:r w:rsidRPr="009A4532">
        <w:rPr>
          <w:lang w:val="nl-BE"/>
        </w:rPr>
        <w:t>HCl</w:t>
      </w:r>
      <w:proofErr w:type="spellEnd"/>
      <w:r w:rsidRPr="009A4532">
        <w:rPr>
          <w:lang w:val="nl-BE"/>
        </w:rPr>
        <w:t xml:space="preserve"> (188 K) vergeleken met F</w:t>
      </w:r>
      <w:r w:rsidRPr="00F97CB0">
        <w:rPr>
          <w:vertAlign w:val="subscript"/>
          <w:lang w:val="nl-BE"/>
        </w:rPr>
        <w:t>2</w:t>
      </w:r>
      <w:r w:rsidRPr="009A4532">
        <w:rPr>
          <w:lang w:val="nl-BE"/>
        </w:rPr>
        <w:t xml:space="preserve"> (85 K) is een weerspiegeling van de grotere sterkte van dipool-dipoolaantrekkingskracht tussen </w:t>
      </w:r>
      <w:proofErr w:type="spellStart"/>
      <w:r w:rsidRPr="009A4532">
        <w:rPr>
          <w:lang w:val="nl-BE"/>
        </w:rPr>
        <w:t>HCl</w:t>
      </w:r>
      <w:proofErr w:type="spellEnd"/>
      <w:r w:rsidRPr="009A4532">
        <w:rPr>
          <w:lang w:val="nl-BE"/>
        </w:rPr>
        <w:t>-moleculen, vergeleken met de</w:t>
      </w:r>
    </w:p>
    <w:p w14:paraId="17BF4315" w14:textId="70929041" w:rsidR="000A5135" w:rsidRPr="009A4532" w:rsidRDefault="00F97CB0" w:rsidP="00F97CB0">
      <w:pPr>
        <w:pStyle w:val="Plattetekst"/>
        <w:spacing w:line="215" w:lineRule="exact"/>
        <w:rPr>
          <w:lang w:val="nl-BE"/>
        </w:rPr>
      </w:pPr>
      <w:r>
        <w:rPr>
          <w:lang w:val="nl-BE"/>
        </w:rPr>
        <w:t xml:space="preserve">       </w:t>
      </w:r>
      <w:r w:rsidR="000D0B1F" w:rsidRPr="009A4532">
        <w:rPr>
          <w:lang w:val="nl-BE"/>
        </w:rPr>
        <w:t>attracties tussen niet-polaire F</w:t>
      </w:r>
      <w:r w:rsidR="000D0B1F" w:rsidRPr="00F97CB0">
        <w:rPr>
          <w:vertAlign w:val="subscript"/>
          <w:lang w:val="nl-BE"/>
        </w:rPr>
        <w:t>2</w:t>
      </w:r>
      <w:r w:rsidR="000D0B1F" w:rsidRPr="009A4532">
        <w:rPr>
          <w:lang w:val="nl-BE"/>
        </w:rPr>
        <w:br w:type="column"/>
      </w:r>
      <w:r w:rsidR="000D0B1F" w:rsidRPr="009A4532">
        <w:rPr>
          <w:lang w:val="nl-BE"/>
        </w:rPr>
        <w:t xml:space="preserve">Moleculen. We gebruiken vaak waarden zoals kook- of vriespunten, of </w:t>
      </w:r>
      <w:proofErr w:type="spellStart"/>
      <w:r w:rsidR="000D0B1F" w:rsidRPr="009A4532">
        <w:rPr>
          <w:lang w:val="nl-BE"/>
        </w:rPr>
        <w:t>enthalpieën</w:t>
      </w:r>
      <w:proofErr w:type="spellEnd"/>
      <w:r w:rsidR="000D0B1F" w:rsidRPr="009A4532">
        <w:rPr>
          <w:lang w:val="nl-BE"/>
        </w:rPr>
        <w:t xml:space="preserve"> van</w:t>
      </w:r>
    </w:p>
    <w:p w14:paraId="1F7D2ED5" w14:textId="77777777" w:rsidR="000A5135" w:rsidRPr="009A4532" w:rsidRDefault="000A5135" w:rsidP="00F97CB0">
      <w:pPr>
        <w:pStyle w:val="Plattetekst"/>
        <w:spacing w:line="215" w:lineRule="exact"/>
        <w:rPr>
          <w:lang w:val="nl-BE"/>
        </w:rPr>
        <w:sectPr w:rsidR="000A5135" w:rsidRPr="009A4532">
          <w:type w:val="continuous"/>
          <w:pgSz w:w="12240" w:h="15840"/>
          <w:pgMar w:top="980" w:right="720" w:bottom="760" w:left="720" w:header="437" w:footer="560" w:gutter="0"/>
          <w:cols w:num="2" w:space="708" w:equalWidth="0">
            <w:col w:w="2930" w:space="40"/>
            <w:col w:w="7830"/>
          </w:cols>
        </w:sectPr>
      </w:pPr>
    </w:p>
    <w:p w14:paraId="7363F0AD" w14:textId="767863DD" w:rsidR="000A5135" w:rsidRPr="00F97CB0" w:rsidRDefault="000D0B1F" w:rsidP="00F97CB0">
      <w:pPr>
        <w:pStyle w:val="Plattetekst"/>
        <w:spacing w:before="36"/>
        <w:ind w:left="335"/>
        <w:rPr>
          <w:lang w:val="nl-BE"/>
        </w:rPr>
        <w:sectPr w:rsidR="000A5135" w:rsidRPr="00F97CB0">
          <w:type w:val="continuous"/>
          <w:pgSz w:w="12240" w:h="15840"/>
          <w:pgMar w:top="980" w:right="720" w:bottom="760" w:left="720" w:header="437" w:footer="560" w:gutter="0"/>
          <w:cols w:space="708"/>
        </w:sectPr>
      </w:pPr>
      <w:r w:rsidRPr="009A4532">
        <w:rPr>
          <w:lang w:val="nl-BE"/>
        </w:rPr>
        <w:t xml:space="preserve">verdamping of fusie, als indicatoren van de relatieve sterkte van </w:t>
      </w:r>
      <w:proofErr w:type="spellStart"/>
      <w:r w:rsidRPr="009A4532">
        <w:rPr>
          <w:lang w:val="nl-BE"/>
        </w:rPr>
        <w:t>IMF's</w:t>
      </w:r>
      <w:proofErr w:type="spellEnd"/>
      <w:r w:rsidRPr="009A4532">
        <w:rPr>
          <w:lang w:val="nl-BE"/>
        </w:rPr>
        <w:t xml:space="preserve"> van aantrekkingskracht aanwezig in verschillende stoffen.</w:t>
      </w:r>
    </w:p>
    <w:p w14:paraId="520FCCB5" w14:textId="6E0FD1C9" w:rsidR="000A5135" w:rsidRPr="009A4532" w:rsidRDefault="000D0B1F" w:rsidP="00F97CB0">
      <w:pPr>
        <w:pStyle w:val="Kop1"/>
        <w:ind w:left="0"/>
        <w:rPr>
          <w:lang w:val="nl-BE"/>
        </w:rPr>
      </w:pPr>
      <w:r w:rsidRPr="009A4532">
        <w:rPr>
          <w:color w:val="1279C2"/>
          <w:lang w:val="nl-BE"/>
        </w:rPr>
        <w:lastRenderedPageBreak/>
        <w:t>Waterstof B</w:t>
      </w:r>
      <w:r w:rsidR="00F97CB0">
        <w:rPr>
          <w:color w:val="1279C2"/>
          <w:lang w:val="nl-BE"/>
        </w:rPr>
        <w:t>rugkrachten</w:t>
      </w:r>
    </w:p>
    <w:p w14:paraId="432D2B3F" w14:textId="77777777" w:rsidR="000A5135" w:rsidRPr="009A4532" w:rsidRDefault="000D0B1F">
      <w:pPr>
        <w:pStyle w:val="Plattetekst"/>
        <w:spacing w:before="96" w:line="254" w:lineRule="exact"/>
        <w:ind w:left="335" w:right="336"/>
        <w:jc w:val="both"/>
        <w:rPr>
          <w:lang w:val="nl-BE"/>
        </w:rPr>
      </w:pPr>
      <w:proofErr w:type="spellStart"/>
      <w:r w:rsidRPr="009A4532">
        <w:rPr>
          <w:lang w:val="nl-BE"/>
        </w:rPr>
        <w:t>Nitrosylfluoride</w:t>
      </w:r>
      <w:proofErr w:type="spellEnd"/>
      <w:r w:rsidRPr="009A4532">
        <w:rPr>
          <w:lang w:val="nl-BE"/>
        </w:rPr>
        <w:t xml:space="preserve"> (ONF, molecuulmassa 49 </w:t>
      </w:r>
      <w:proofErr w:type="spellStart"/>
      <w:r w:rsidRPr="009A4532">
        <w:rPr>
          <w:lang w:val="nl-BE"/>
        </w:rPr>
        <w:t>amu</w:t>
      </w:r>
      <w:proofErr w:type="spellEnd"/>
      <w:r w:rsidRPr="009A4532">
        <w:rPr>
          <w:lang w:val="nl-BE"/>
        </w:rPr>
        <w:t>) is een gas bij kamertemperatuur. Water (H</w:t>
      </w:r>
      <w:r w:rsidRPr="00F97CB0">
        <w:rPr>
          <w:vertAlign w:val="subscript"/>
          <w:lang w:val="nl-BE"/>
        </w:rPr>
        <w:t>2</w:t>
      </w:r>
      <w:r w:rsidRPr="009A4532">
        <w:rPr>
          <w:lang w:val="nl-BE"/>
        </w:rPr>
        <w:t xml:space="preserve">O, molecuulmassa 18 </w:t>
      </w:r>
      <w:proofErr w:type="spellStart"/>
      <w:r w:rsidRPr="009A4532">
        <w:rPr>
          <w:lang w:val="nl-BE"/>
        </w:rPr>
        <w:t>amu</w:t>
      </w:r>
      <w:proofErr w:type="spellEnd"/>
      <w:r w:rsidRPr="009A4532">
        <w:rPr>
          <w:lang w:val="nl-BE"/>
        </w:rPr>
        <w:t xml:space="preserve">) is een vloeistof, ook al heeft het een lagere molecuulmassa. Het is duidelijk dat we dit verschil tussen de twee verbindingen niet kunnen toeschrijven aan dispersiekrachten. Beide moleculen hebben ongeveer dezelfde vorm en ONF is het zwaardere en grotere molecuul. Er wordt daarom verwacht dat het meer significante dispersiekrachten zal ervaren. Bovendien kunnen we dit verschil in kookpunten niet toeschrijven aan verschillen in de dipoolmomenten van de moleculen. Beide moleculen zijn polair en vertonen vergelijkbare dipoolmomenten. Het grote verschil tussen de kookpunten is te wijten aan een bijzonder sterke dipool-dipoolaantrekkingskracht die kan optreden wanneer een molecuul een waterstofatoom bevat dat is gebonden aan een fluor-, zuurstof- of stikstofatoom (de drie meest elektronegatieve elementen). Het zeer grote verschil in </w:t>
      </w:r>
      <w:proofErr w:type="spellStart"/>
      <w:r w:rsidRPr="009A4532">
        <w:rPr>
          <w:lang w:val="nl-BE"/>
        </w:rPr>
        <w:t>elektronegativiteit</w:t>
      </w:r>
      <w:proofErr w:type="spellEnd"/>
      <w:r w:rsidRPr="009A4532">
        <w:rPr>
          <w:lang w:val="nl-BE"/>
        </w:rPr>
        <w:t xml:space="preserve"> tussen het H-atoom (2.1) en het atoom waaraan het is gebonden (4.0 voor een F-atoom, 3.5 voor een O-atoom of 3.0 voor een N-atoom), gecombineerd met de zeer kleine grootte van een H-atoom en de relatief kleine afmetingen van F-, O- of N-atomen,  leidt tot </w:t>
      </w:r>
      <w:r w:rsidRPr="009A4532">
        <w:rPr>
          <w:i/>
          <w:lang w:val="nl-BE"/>
        </w:rPr>
        <w:t xml:space="preserve">sterk geconcentreerde gedeeltelijke ladingen </w:t>
      </w:r>
      <w:r w:rsidRPr="009A4532">
        <w:rPr>
          <w:lang w:val="nl-BE"/>
        </w:rPr>
        <w:t>met deze atomen. Moleculen met F-H-, O-H- of N-H-groepen worden zeer sterk aangetrokken door vergelijkbare delen in nabijgelegen moleculen, een bijzonder sterk type dipool-dipoolaantrekkingskracht die waterstofbruggen wordt genoemd. Voorbeelden van waterstofbruggen zijn HF⋯HF, H</w:t>
      </w:r>
      <w:r w:rsidRPr="00F97CB0">
        <w:rPr>
          <w:vertAlign w:val="subscript"/>
          <w:lang w:val="nl-BE"/>
        </w:rPr>
        <w:t>2</w:t>
      </w:r>
      <w:r w:rsidRPr="009A4532">
        <w:rPr>
          <w:lang w:val="nl-BE"/>
        </w:rPr>
        <w:t>O⋯HOH en H3N⋯HNH</w:t>
      </w:r>
      <w:r w:rsidRPr="00F97CB0">
        <w:rPr>
          <w:vertAlign w:val="subscript"/>
          <w:lang w:val="nl-BE"/>
        </w:rPr>
        <w:t>2</w:t>
      </w:r>
      <w:r w:rsidRPr="009A4532">
        <w:rPr>
          <w:lang w:val="nl-BE"/>
        </w:rPr>
        <w:t xml:space="preserve">, waarbij de waterstofbruggen worden aangeduid met punten. Figuur </w:t>
      </w:r>
      <w:r w:rsidRPr="009A4532">
        <w:rPr>
          <w:sz w:val="20"/>
          <w:lang w:val="nl-BE"/>
        </w:rPr>
        <w:t xml:space="preserve">7.2.9 </w:t>
      </w:r>
      <w:r w:rsidRPr="009A4532">
        <w:rPr>
          <w:lang w:val="nl-BE"/>
        </w:rPr>
        <w:t>illustreert de waterstofbinding tussen watermoleculen.</w:t>
      </w:r>
    </w:p>
    <w:p w14:paraId="36E0F484" w14:textId="77777777" w:rsidR="000A5135" w:rsidRPr="009A4532" w:rsidRDefault="000D0B1F">
      <w:pPr>
        <w:pStyle w:val="Plattetekst"/>
        <w:spacing w:before="10"/>
        <w:rPr>
          <w:sz w:val="8"/>
          <w:lang w:val="nl-BE"/>
        </w:rPr>
      </w:pPr>
      <w:r>
        <w:rPr>
          <w:noProof/>
          <w:sz w:val="8"/>
        </w:rPr>
        <w:drawing>
          <wp:anchor distT="0" distB="0" distL="0" distR="0" simplePos="0" relativeHeight="487596544" behindDoc="1" locked="0" layoutInCell="1" allowOverlap="1" wp14:anchorId="53942DC1" wp14:editId="76AC2551">
            <wp:simplePos x="0" y="0"/>
            <wp:positionH relativeFrom="page">
              <wp:posOffset>2280716</wp:posOffset>
            </wp:positionH>
            <wp:positionV relativeFrom="paragraph">
              <wp:posOffset>80023</wp:posOffset>
            </wp:positionV>
            <wp:extent cx="3155007" cy="1563624"/>
            <wp:effectExtent l="0" t="0" r="0" b="0"/>
            <wp:wrapTopAndBottom/>
            <wp:docPr id="74" name="Imag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Image 74"/>
                    <pic:cNvPicPr/>
                  </pic:nvPicPr>
                  <pic:blipFill>
                    <a:blip r:embed="rId19" cstate="print"/>
                    <a:stretch>
                      <a:fillRect/>
                    </a:stretch>
                  </pic:blipFill>
                  <pic:spPr>
                    <a:xfrm>
                      <a:off x="0" y="0"/>
                      <a:ext cx="3155007" cy="1563624"/>
                    </a:xfrm>
                    <a:prstGeom prst="rect">
                      <a:avLst/>
                    </a:prstGeom>
                  </pic:spPr>
                </pic:pic>
              </a:graphicData>
            </a:graphic>
          </wp:anchor>
        </w:drawing>
      </w:r>
    </w:p>
    <w:p w14:paraId="6F11439E" w14:textId="77777777" w:rsidR="000A5135" w:rsidRPr="009A4532" w:rsidRDefault="000D0B1F">
      <w:pPr>
        <w:spacing w:before="84"/>
        <w:ind w:left="1437"/>
        <w:jc w:val="both"/>
        <w:rPr>
          <w:sz w:val="17"/>
          <w:lang w:val="nl-BE"/>
        </w:rPr>
      </w:pPr>
      <w:r w:rsidRPr="009A4532">
        <w:rPr>
          <w:sz w:val="17"/>
          <w:lang w:val="nl-BE"/>
        </w:rPr>
        <w:t xml:space="preserve">Figuur </w:t>
      </w:r>
      <w:r w:rsidRPr="009A4532">
        <w:rPr>
          <w:sz w:val="18"/>
          <w:lang w:val="nl-BE"/>
        </w:rPr>
        <w:t>7.2.9</w:t>
      </w:r>
      <w:r w:rsidRPr="009A4532">
        <w:rPr>
          <w:sz w:val="17"/>
          <w:lang w:val="nl-BE"/>
        </w:rPr>
        <w:t>: Watermoleculen nemen deel aan meerdere waterstofbindingsinteracties met nabijgelegen watermoleculen.</w:t>
      </w:r>
    </w:p>
    <w:p w14:paraId="045BF22C" w14:textId="77777777" w:rsidR="000A5135" w:rsidRPr="009A4532" w:rsidRDefault="000D0B1F">
      <w:pPr>
        <w:pStyle w:val="Plattetekst"/>
        <w:spacing w:before="114" w:line="280" w:lineRule="auto"/>
        <w:ind w:left="335" w:right="334"/>
        <w:jc w:val="both"/>
        <w:rPr>
          <w:lang w:val="nl-BE"/>
        </w:rPr>
      </w:pPr>
      <w:r w:rsidRPr="009A4532">
        <w:rPr>
          <w:lang w:val="nl-BE"/>
        </w:rPr>
        <w:t xml:space="preserve">Ondanks het gebruik van het woord 'binding', moet u er rekening mee houden dat waterstofbruggen </w:t>
      </w:r>
      <w:r w:rsidRPr="009A4532">
        <w:rPr>
          <w:i/>
          <w:lang w:val="nl-BE"/>
        </w:rPr>
        <w:t xml:space="preserve">intermoleculaire </w:t>
      </w:r>
      <w:r w:rsidRPr="009A4532">
        <w:rPr>
          <w:lang w:val="nl-BE"/>
        </w:rPr>
        <w:t xml:space="preserve">aantrekkingskrachten zijn, geen </w:t>
      </w:r>
      <w:proofErr w:type="spellStart"/>
      <w:r w:rsidRPr="009A4532">
        <w:rPr>
          <w:i/>
          <w:lang w:val="nl-BE"/>
        </w:rPr>
        <w:t>intramoleculaire</w:t>
      </w:r>
      <w:proofErr w:type="spellEnd"/>
      <w:r w:rsidRPr="009A4532">
        <w:rPr>
          <w:i/>
          <w:lang w:val="nl-BE"/>
        </w:rPr>
        <w:t xml:space="preserve"> </w:t>
      </w:r>
      <w:r w:rsidRPr="009A4532">
        <w:rPr>
          <w:lang w:val="nl-BE"/>
        </w:rPr>
        <w:t>aantrekkingskrachten (covalente bindingen). Waterstofbruggen zijn veel zwakker dan covalente bindingen, slechts ongeveer 5 tot 10% zo sterk, maar zijn over het algemeen veel sterker dan andere dipool-dipoolattracties en dispersiekrachten.</w:t>
      </w:r>
    </w:p>
    <w:p w14:paraId="56663981" w14:textId="77777777" w:rsidR="000A5135" w:rsidRPr="009A4532" w:rsidRDefault="000D0B1F">
      <w:pPr>
        <w:pStyle w:val="Plattetekst"/>
        <w:spacing w:before="88" w:line="278" w:lineRule="auto"/>
        <w:ind w:left="335" w:right="334"/>
        <w:jc w:val="both"/>
        <w:rPr>
          <w:lang w:val="nl-BE"/>
        </w:rPr>
      </w:pPr>
      <w:r w:rsidRPr="009A4532">
        <w:rPr>
          <w:lang w:val="nl-BE"/>
        </w:rPr>
        <w:t>Waterstofbruggen hebben een uitgesproken effect op de eigenschappen van gecondenseerde fasen (vloeistoffen en vaste stoffen). Beschouw bijvoorbeeld de trends in kookpunten voor de binaire hydriden van groep 15 (NH</w:t>
      </w:r>
      <w:r w:rsidRPr="00F97CB0">
        <w:rPr>
          <w:vertAlign w:val="subscript"/>
          <w:lang w:val="nl-BE"/>
        </w:rPr>
        <w:t>3</w:t>
      </w:r>
      <w:r w:rsidRPr="009A4532">
        <w:rPr>
          <w:lang w:val="nl-BE"/>
        </w:rPr>
        <w:t>, PH</w:t>
      </w:r>
      <w:r w:rsidRPr="00F97CB0">
        <w:rPr>
          <w:vertAlign w:val="subscript"/>
          <w:lang w:val="nl-BE"/>
        </w:rPr>
        <w:t>3</w:t>
      </w:r>
      <w:r w:rsidRPr="009A4532">
        <w:rPr>
          <w:lang w:val="nl-BE"/>
        </w:rPr>
        <w:t>, AsH</w:t>
      </w:r>
      <w:r w:rsidRPr="00F97CB0">
        <w:rPr>
          <w:vertAlign w:val="subscript"/>
          <w:lang w:val="nl-BE"/>
        </w:rPr>
        <w:t>3</w:t>
      </w:r>
      <w:r w:rsidRPr="009A4532">
        <w:rPr>
          <w:lang w:val="nl-BE"/>
        </w:rPr>
        <w:t xml:space="preserve"> en SbH</w:t>
      </w:r>
      <w:r w:rsidRPr="00F97CB0">
        <w:rPr>
          <w:vertAlign w:val="subscript"/>
          <w:lang w:val="nl-BE"/>
        </w:rPr>
        <w:t>3</w:t>
      </w:r>
      <w:r w:rsidRPr="009A4532">
        <w:rPr>
          <w:lang w:val="nl-BE"/>
        </w:rPr>
        <w:t>), groep 16 hydriden (H</w:t>
      </w:r>
      <w:r w:rsidRPr="00F97CB0">
        <w:rPr>
          <w:vertAlign w:val="subscript"/>
          <w:lang w:val="nl-BE"/>
        </w:rPr>
        <w:t>2</w:t>
      </w:r>
      <w:r w:rsidRPr="009A4532">
        <w:rPr>
          <w:lang w:val="nl-BE"/>
        </w:rPr>
        <w:t>O, H</w:t>
      </w:r>
      <w:r w:rsidRPr="00F97CB0">
        <w:rPr>
          <w:vertAlign w:val="subscript"/>
          <w:lang w:val="nl-BE"/>
        </w:rPr>
        <w:t>2</w:t>
      </w:r>
      <w:r w:rsidRPr="009A4532">
        <w:rPr>
          <w:lang w:val="nl-BE"/>
        </w:rPr>
        <w:t>S, H</w:t>
      </w:r>
      <w:r w:rsidRPr="00F97CB0">
        <w:rPr>
          <w:vertAlign w:val="subscript"/>
          <w:lang w:val="nl-BE"/>
        </w:rPr>
        <w:t>2</w:t>
      </w:r>
      <w:r w:rsidRPr="009A4532">
        <w:rPr>
          <w:lang w:val="nl-BE"/>
        </w:rPr>
        <w:t>Se en H</w:t>
      </w:r>
      <w:r w:rsidRPr="00F97CB0">
        <w:rPr>
          <w:vertAlign w:val="subscript"/>
          <w:lang w:val="nl-BE"/>
        </w:rPr>
        <w:t>2</w:t>
      </w:r>
      <w:r w:rsidRPr="009A4532">
        <w:rPr>
          <w:lang w:val="nl-BE"/>
        </w:rPr>
        <w:t xml:space="preserve">Te) en groep 17 hydriden (HF, </w:t>
      </w:r>
      <w:proofErr w:type="spellStart"/>
      <w:r w:rsidRPr="009A4532">
        <w:rPr>
          <w:lang w:val="nl-BE"/>
        </w:rPr>
        <w:t>HCl</w:t>
      </w:r>
      <w:proofErr w:type="spellEnd"/>
      <w:r w:rsidRPr="009A4532">
        <w:rPr>
          <w:lang w:val="nl-BE"/>
        </w:rPr>
        <w:t xml:space="preserve">, </w:t>
      </w:r>
      <w:proofErr w:type="spellStart"/>
      <w:r w:rsidRPr="009A4532">
        <w:rPr>
          <w:lang w:val="nl-BE"/>
        </w:rPr>
        <w:t>HBr</w:t>
      </w:r>
      <w:proofErr w:type="spellEnd"/>
      <w:r w:rsidRPr="009A4532">
        <w:rPr>
          <w:lang w:val="nl-BE"/>
        </w:rPr>
        <w:t xml:space="preserve"> en HI). De kookpunten van de zwaarste drie hydriden voor elke groep zijn uitgezet in figuur </w:t>
      </w:r>
      <w:r w:rsidRPr="009A4532">
        <w:rPr>
          <w:sz w:val="20"/>
          <w:lang w:val="nl-BE"/>
        </w:rPr>
        <w:t>7.2.10</w:t>
      </w:r>
      <w:r w:rsidRPr="009A4532">
        <w:rPr>
          <w:lang w:val="nl-BE"/>
        </w:rPr>
        <w:t>. Naarmate we verder komen in een van deze groepen, nemen de polariteiten van de moleculen iets af, terwijl de grootte van de moleculen aanzienlijk toeneemt. Het effect van steeds sterkere dispersiekrachten overheerst dat van steeds zwakkere dipool-dipoolaantrekkingen, en er wordt waargenomen dat de kookpunten gestaag toenemen.</w:t>
      </w:r>
    </w:p>
    <w:p w14:paraId="2AB8FA8F" w14:textId="77777777" w:rsidR="000A5135" w:rsidRPr="009A4532" w:rsidRDefault="000A5135">
      <w:pPr>
        <w:pStyle w:val="Plattetekst"/>
        <w:spacing w:line="278" w:lineRule="auto"/>
        <w:jc w:val="both"/>
        <w:rPr>
          <w:lang w:val="nl-BE"/>
        </w:rPr>
        <w:sectPr w:rsidR="000A5135" w:rsidRPr="009A4532">
          <w:pgSz w:w="12240" w:h="15840"/>
          <w:pgMar w:top="980" w:right="720" w:bottom="760" w:left="720" w:header="437" w:footer="560" w:gutter="0"/>
          <w:cols w:space="708"/>
        </w:sectPr>
      </w:pPr>
    </w:p>
    <w:p w14:paraId="1570FA9F" w14:textId="77777777" w:rsidR="000A5135" w:rsidRPr="009A4532" w:rsidRDefault="000A5135">
      <w:pPr>
        <w:pStyle w:val="Plattetekst"/>
        <w:spacing w:before="3"/>
        <w:rPr>
          <w:sz w:val="13"/>
          <w:lang w:val="nl-BE"/>
        </w:rPr>
      </w:pPr>
    </w:p>
    <w:p w14:paraId="2A4B61DB" w14:textId="77777777" w:rsidR="000A5135" w:rsidRDefault="000D0B1F">
      <w:pPr>
        <w:pStyle w:val="Plattetekst"/>
        <w:ind w:left="3154"/>
        <w:rPr>
          <w:sz w:val="20"/>
        </w:rPr>
      </w:pPr>
      <w:r>
        <w:rPr>
          <w:noProof/>
          <w:sz w:val="20"/>
        </w:rPr>
        <w:drawing>
          <wp:inline distT="0" distB="0" distL="0" distR="0" wp14:anchorId="45209D52" wp14:editId="0F40273D">
            <wp:extent cx="2920722" cy="2651759"/>
            <wp:effectExtent l="0" t="0" r="0" b="0"/>
            <wp:docPr id="75" name="Image 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5" name="Image 75"/>
                    <pic:cNvPicPr/>
                  </pic:nvPicPr>
                  <pic:blipFill>
                    <a:blip r:embed="rId20" cstate="print"/>
                    <a:stretch>
                      <a:fillRect/>
                    </a:stretch>
                  </pic:blipFill>
                  <pic:spPr>
                    <a:xfrm>
                      <a:off x="0" y="0"/>
                      <a:ext cx="2920722" cy="2651759"/>
                    </a:xfrm>
                    <a:prstGeom prst="rect">
                      <a:avLst/>
                    </a:prstGeom>
                  </pic:spPr>
                </pic:pic>
              </a:graphicData>
            </a:graphic>
          </wp:inline>
        </w:drawing>
      </w:r>
    </w:p>
    <w:p w14:paraId="28F5DBF6" w14:textId="77777777" w:rsidR="000A5135" w:rsidRPr="009A4532" w:rsidRDefault="000D0B1F">
      <w:pPr>
        <w:spacing w:before="11" w:line="237" w:lineRule="auto"/>
        <w:ind w:left="842" w:right="501"/>
        <w:rPr>
          <w:sz w:val="17"/>
          <w:lang w:val="nl-BE"/>
        </w:rPr>
      </w:pPr>
      <w:r w:rsidRPr="009A4532">
        <w:rPr>
          <w:sz w:val="17"/>
          <w:lang w:val="nl-BE"/>
        </w:rPr>
        <w:t xml:space="preserve">Figuur </w:t>
      </w:r>
      <w:r w:rsidRPr="009A4532">
        <w:rPr>
          <w:sz w:val="18"/>
          <w:lang w:val="nl-BE"/>
        </w:rPr>
        <w:t>7.2.10</w:t>
      </w:r>
      <w:r w:rsidRPr="009A4532">
        <w:rPr>
          <w:sz w:val="17"/>
          <w:lang w:val="nl-BE"/>
        </w:rPr>
        <w:t>: Voor de hydriden van de groepen 15, 16 en 17 nemen de kookpunten voor elke klasse van verbindingen toe met toenemende molecuulmassa voor elementen in perioden 3, 4 en 5.</w:t>
      </w:r>
    </w:p>
    <w:p w14:paraId="6BECA91B" w14:textId="1D38FADB" w:rsidR="000A5135" w:rsidRPr="009A4532" w:rsidRDefault="000D0B1F" w:rsidP="00F97CB0">
      <w:pPr>
        <w:pStyle w:val="Plattetekst"/>
        <w:spacing w:before="100"/>
        <w:ind w:left="335"/>
        <w:jc w:val="both"/>
        <w:rPr>
          <w:lang w:val="nl-BE"/>
        </w:rPr>
      </w:pPr>
      <w:r w:rsidRPr="009A4532">
        <w:rPr>
          <w:lang w:val="nl-BE"/>
        </w:rPr>
        <w:t>Als we deze trend gebruiken om de kookpunten voor de lichtste hydride voor elke groep te voorspellen, zouden we verwachten dat NH</w:t>
      </w:r>
      <w:r w:rsidRPr="00F97CB0">
        <w:rPr>
          <w:vertAlign w:val="subscript"/>
          <w:lang w:val="nl-BE"/>
        </w:rPr>
        <w:t>3</w:t>
      </w:r>
      <w:r w:rsidRPr="009A4532">
        <w:rPr>
          <w:lang w:val="nl-BE"/>
        </w:rPr>
        <w:t xml:space="preserve"> ongeveer -120 </w:t>
      </w:r>
      <w:r w:rsidR="00F97CB0">
        <w:rPr>
          <w:lang w:val="nl-BE"/>
        </w:rPr>
        <w:t xml:space="preserve">°C </w:t>
      </w:r>
      <w:r w:rsidRPr="009A4532">
        <w:rPr>
          <w:lang w:val="nl-BE"/>
        </w:rPr>
        <w:t>kookt H</w:t>
      </w:r>
      <w:r w:rsidRPr="00F97CB0">
        <w:rPr>
          <w:vertAlign w:val="subscript"/>
          <w:lang w:val="nl-BE"/>
        </w:rPr>
        <w:t>2</w:t>
      </w:r>
      <w:r w:rsidRPr="009A4532">
        <w:rPr>
          <w:lang w:val="nl-BE"/>
        </w:rPr>
        <w:t xml:space="preserve">O aan de kook bij ongeveer −80 °C en HF aan de kook bij ongeveer −110 °C.  Wanneer we echter de kookpunten voor deze verbindingen meten, zien we dat ze dramatisch hoger zijn dan de trends zouden voorspellen, zoals weergegeven in figuur </w:t>
      </w:r>
      <w:r w:rsidRPr="009A4532">
        <w:rPr>
          <w:sz w:val="20"/>
          <w:lang w:val="nl-BE"/>
        </w:rPr>
        <w:t>7.2.11</w:t>
      </w:r>
      <w:r w:rsidRPr="009A4532">
        <w:rPr>
          <w:lang w:val="nl-BE"/>
        </w:rPr>
        <w:t>. Het schrille contrast tussen onze naïeve voorspellingen en de realiteit levert overtuigend bewijs voor de sterkte van waterstofbruggen.</w:t>
      </w:r>
    </w:p>
    <w:p w14:paraId="71207401" w14:textId="77777777" w:rsidR="000A5135" w:rsidRPr="009A4532" w:rsidRDefault="000D0B1F">
      <w:pPr>
        <w:pStyle w:val="Plattetekst"/>
        <w:spacing w:before="10"/>
        <w:rPr>
          <w:sz w:val="14"/>
          <w:lang w:val="nl-BE"/>
        </w:rPr>
      </w:pPr>
      <w:r>
        <w:rPr>
          <w:noProof/>
          <w:sz w:val="14"/>
        </w:rPr>
        <w:drawing>
          <wp:anchor distT="0" distB="0" distL="0" distR="0" simplePos="0" relativeHeight="487597056" behindDoc="1" locked="0" layoutInCell="1" allowOverlap="1" wp14:anchorId="2B2DF779" wp14:editId="1D7BAC29">
            <wp:simplePos x="0" y="0"/>
            <wp:positionH relativeFrom="page">
              <wp:posOffset>2326444</wp:posOffset>
            </wp:positionH>
            <wp:positionV relativeFrom="paragraph">
              <wp:posOffset>124336</wp:posOffset>
            </wp:positionV>
            <wp:extent cx="3195543" cy="2875788"/>
            <wp:effectExtent l="0" t="0" r="0" b="0"/>
            <wp:wrapTopAndBottom/>
            <wp:docPr id="76" name="Image 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 name="Image 76"/>
                    <pic:cNvPicPr/>
                  </pic:nvPicPr>
                  <pic:blipFill>
                    <a:blip r:embed="rId21" cstate="print"/>
                    <a:stretch>
                      <a:fillRect/>
                    </a:stretch>
                  </pic:blipFill>
                  <pic:spPr>
                    <a:xfrm>
                      <a:off x="0" y="0"/>
                      <a:ext cx="3195543" cy="2875788"/>
                    </a:xfrm>
                    <a:prstGeom prst="rect">
                      <a:avLst/>
                    </a:prstGeom>
                  </pic:spPr>
                </pic:pic>
              </a:graphicData>
            </a:graphic>
          </wp:anchor>
        </w:drawing>
      </w:r>
    </w:p>
    <w:p w14:paraId="050F4CAB" w14:textId="11DAFA21" w:rsidR="00CE544B" w:rsidRPr="00F97CB0" w:rsidRDefault="000D0B1F" w:rsidP="00CE544B">
      <w:pPr>
        <w:spacing w:before="31" w:line="237" w:lineRule="auto"/>
        <w:ind w:left="842" w:right="501"/>
        <w:rPr>
          <w:spacing w:val="-5"/>
          <w:sz w:val="17"/>
          <w:lang w:val="nl-BE"/>
        </w:rPr>
      </w:pPr>
      <w:r w:rsidRPr="009A4532">
        <w:rPr>
          <w:sz w:val="17"/>
          <w:lang w:val="nl-BE"/>
        </w:rPr>
        <w:t xml:space="preserve">Figuur </w:t>
      </w:r>
      <w:r w:rsidRPr="009A4532">
        <w:rPr>
          <w:sz w:val="18"/>
          <w:lang w:val="nl-BE"/>
        </w:rPr>
        <w:t>7.2.11</w:t>
      </w:r>
      <w:r w:rsidRPr="009A4532">
        <w:rPr>
          <w:sz w:val="17"/>
          <w:lang w:val="nl-BE"/>
        </w:rPr>
        <w:t>: In vergelijking met periode 3-5 vertonen de binaire hydriden van periode 2 elementen in de groepen 17, 16 en 15 (respectievelijk F, O en N) abnormaal hoge kookpunten als gevolg van waterstofbruggen.</w:t>
      </w:r>
    </w:p>
    <w:p w14:paraId="08C29E88" w14:textId="33DBCD50" w:rsidR="000A5135" w:rsidRDefault="000D0B1F">
      <w:pPr>
        <w:spacing w:before="74"/>
        <w:ind w:left="604"/>
        <w:rPr>
          <w:sz w:val="17"/>
        </w:rPr>
      </w:pPr>
      <w:r>
        <w:rPr>
          <w:spacing w:val="-5"/>
          <w:sz w:val="17"/>
        </w:rPr>
        <w:t>.</w:t>
      </w:r>
    </w:p>
    <w:sectPr w:rsidR="000A5135">
      <w:pgSz w:w="12240" w:h="15840"/>
      <w:pgMar w:top="980" w:right="720" w:bottom="760" w:left="720" w:header="437" w:footer="56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86673D" w14:textId="77777777" w:rsidR="004A216B" w:rsidRDefault="004A216B">
      <w:r>
        <w:separator/>
      </w:r>
    </w:p>
  </w:endnote>
  <w:endnote w:type="continuationSeparator" w:id="0">
    <w:p w14:paraId="738F8AD8" w14:textId="77777777" w:rsidR="004A216B" w:rsidRDefault="004A2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7CC03" w14:textId="54934D17" w:rsidR="000A5135" w:rsidRDefault="000A5135">
    <w:pPr>
      <w:pStyle w:val="Platteteks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2A4916" w14:textId="77777777" w:rsidR="004A216B" w:rsidRDefault="004A216B">
      <w:r>
        <w:separator/>
      </w:r>
    </w:p>
  </w:footnote>
  <w:footnote w:type="continuationSeparator" w:id="0">
    <w:p w14:paraId="77B4F52A" w14:textId="77777777" w:rsidR="004A216B" w:rsidRDefault="004A2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A81EB" w14:textId="414BCB3C" w:rsidR="000A5135" w:rsidRDefault="000A5135">
    <w:pPr>
      <w:pStyle w:val="Platteteks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2D5CDE"/>
    <w:multiLevelType w:val="hybridMultilevel"/>
    <w:tmpl w:val="30626978"/>
    <w:lvl w:ilvl="0" w:tplc="E4288E08">
      <w:start w:val="3"/>
      <w:numFmt w:val="decimal"/>
      <w:lvlText w:val="%1."/>
      <w:lvlJc w:val="left"/>
      <w:pPr>
        <w:ind w:left="1080" w:hanging="360"/>
      </w:pPr>
      <w:rPr>
        <w:rFonts w:hint="default"/>
        <w:b/>
        <w:sz w:val="40"/>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 w15:restartNumberingAfterBreak="0">
    <w:nsid w:val="4D660671"/>
    <w:multiLevelType w:val="hybridMultilevel"/>
    <w:tmpl w:val="D654021C"/>
    <w:lvl w:ilvl="0" w:tplc="C9704F34">
      <w:start w:val="5"/>
      <w:numFmt w:val="decimal"/>
      <w:lvlText w:val="%1."/>
      <w:lvlJc w:val="left"/>
      <w:pPr>
        <w:ind w:left="1080" w:hanging="360"/>
      </w:pPr>
      <w:rPr>
        <w:rFonts w:hint="default"/>
        <w:b/>
        <w:sz w:val="40"/>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num w:numId="1" w16cid:durableId="1914192038">
    <w:abstractNumId w:val="0"/>
  </w:num>
  <w:num w:numId="2" w16cid:durableId="14640810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135"/>
    <w:rsid w:val="000A5135"/>
    <w:rsid w:val="000D0B1F"/>
    <w:rsid w:val="001064A4"/>
    <w:rsid w:val="002C570D"/>
    <w:rsid w:val="004A216B"/>
    <w:rsid w:val="00774BD5"/>
    <w:rsid w:val="008F1F9D"/>
    <w:rsid w:val="0096224F"/>
    <w:rsid w:val="009A4532"/>
    <w:rsid w:val="00B1064D"/>
    <w:rsid w:val="00CE544B"/>
    <w:rsid w:val="00D11455"/>
    <w:rsid w:val="00DF24FE"/>
    <w:rsid w:val="00F21329"/>
    <w:rsid w:val="00F97CB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4BDF8"/>
  <w15:docId w15:val="{137AEC4C-5715-403C-8943-76A1D30E1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Times New Roman" w:eastAsia="Times New Roman" w:hAnsi="Times New Roman" w:cs="Times New Roman"/>
    </w:rPr>
  </w:style>
  <w:style w:type="paragraph" w:styleId="Kop1">
    <w:name w:val="heading 1"/>
    <w:basedOn w:val="Standaard"/>
    <w:uiPriority w:val="9"/>
    <w:qFormat/>
    <w:pPr>
      <w:spacing w:before="183"/>
      <w:ind w:left="335"/>
      <w:jc w:val="both"/>
      <w:outlineLvl w:val="0"/>
    </w:pPr>
    <w:rPr>
      <w:rFonts w:ascii="Arial MT" w:eastAsia="Arial MT" w:hAnsi="Arial MT" w:cs="Arial MT"/>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19"/>
      <w:szCs w:val="19"/>
    </w:rPr>
  </w:style>
  <w:style w:type="paragraph" w:styleId="Titel">
    <w:name w:val="Title"/>
    <w:basedOn w:val="Standaard"/>
    <w:uiPriority w:val="10"/>
    <w:qFormat/>
    <w:pPr>
      <w:spacing w:before="218"/>
      <w:ind w:left="335"/>
    </w:pPr>
    <w:rPr>
      <w:rFonts w:ascii="Arial MT" w:eastAsia="Arial MT" w:hAnsi="Arial MT" w:cs="Arial MT"/>
      <w:sz w:val="27"/>
      <w:szCs w:val="27"/>
    </w:rPr>
  </w:style>
  <w:style w:type="paragraph" w:styleId="Lijstalinea">
    <w:name w:val="List Paragraph"/>
    <w:basedOn w:val="Standaard"/>
    <w:uiPriority w:val="1"/>
    <w:qFormat/>
  </w:style>
  <w:style w:type="paragraph" w:customStyle="1" w:styleId="TableParagraph">
    <w:name w:val="Table Paragraph"/>
    <w:basedOn w:val="Standaard"/>
    <w:uiPriority w:val="1"/>
    <w:qFormat/>
    <w:pPr>
      <w:spacing w:before="60"/>
      <w:ind w:left="30"/>
      <w:jc w:val="center"/>
    </w:pPr>
  </w:style>
  <w:style w:type="character" w:styleId="Tekstvantijdelijkeaanduiding">
    <w:name w:val="Placeholder Text"/>
    <w:basedOn w:val="Standaardalinea-lettertype"/>
    <w:uiPriority w:val="99"/>
    <w:semiHidden/>
    <w:rsid w:val="009A4532"/>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chem.libretexts.org/Courses/University_of_Toronto/UTSC%3A_First-Year_Chemistry_Textbook_(Winter_2025)/07%3A_Liquids_and_Solids_and_Phase_Changes/7.02%3A_Intermolecular_Forces" TargetMode="Externa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5.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2685</Words>
  <Characters>14773</Characters>
  <Application>Microsoft Office Word</Application>
  <DocSecurity>0</DocSecurity>
  <Lines>123</Lines>
  <Paragraphs>34</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2</cp:revision>
  <cp:lastPrinted>2025-01-26T17:22:00Z</cp:lastPrinted>
  <dcterms:created xsi:type="dcterms:W3CDTF">2025-01-27T15:15:00Z</dcterms:created>
  <dcterms:modified xsi:type="dcterms:W3CDTF">2025-01-27T15:15:00Z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2024-12-29T00:00:00Z</vt:filetime>
  </property>
  <property fmtid="{D5CDD505-2E9C-101B-9397-08002B2CF9AE}" pid="3" name="Creator">
    <vt:lpwstr>Chromium</vt:lpwstr>
  </property>
  <property fmtid="{D5CDD505-2E9C-101B-9397-08002B2CF9AE}" pid="4" name="LastSaved">
    <vt:filetime>2025-01-25T00:00:00Z</vt:filetime>
  </property>
  <property fmtid="{D5CDD505-2E9C-101B-9397-08002B2CF9AE}" pid="5" name="Producer">
    <vt:lpwstr>Skia/PDF m90</vt:lpwstr>
  </property>
</Properties>
</file>