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CC07AC" w:rsidRPr="001B2EA3" w:rsidTr="00CC07AC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CC07AC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CC07AC" w:rsidRPr="001B2EA3" w:rsidRDefault="00CC07AC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Natriumfosfaat (12 aq)</w:t>
                  </w:r>
                </w:p>
                <w:p w:rsidR="00CC07AC" w:rsidRPr="001B2EA3" w:rsidRDefault="00CC07AC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Na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3</w:t>
                  </w:r>
                  <w:r w:rsidRPr="001B2EA3">
                    <w:rPr>
                      <w:noProof/>
                    </w:rPr>
                    <w:t>PO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4</w:t>
                  </w:r>
                  <w:r w:rsidRPr="001B2EA3">
                    <w:rPr>
                      <w:noProof/>
                    </w:rPr>
                    <w:t>.12H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CC07AC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C07AC" w:rsidRPr="001B2EA3" w:rsidRDefault="00CC07AC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BD8DFA6" wp14:editId="7A08D831">
                        <wp:extent cx="447675" cy="447675"/>
                        <wp:effectExtent l="0" t="0" r="9525" b="9525"/>
                        <wp:docPr id="18" name="Afbeelding 1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CC07AC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CC07AC" w:rsidRPr="001B2EA3" w:rsidRDefault="00CC07AC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CC07AC" w:rsidRPr="001B2EA3" w:rsidRDefault="00CC07AC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10101-89-0</w:t>
                  </w:r>
                </w:p>
              </w:tc>
            </w:tr>
            <w:tr w:rsidR="00CC07AC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CC07AC" w:rsidRPr="001B2EA3" w:rsidRDefault="00CC07AC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H 315-319</w:t>
                  </w:r>
                </w:p>
                <w:p w:rsidR="00CC07AC" w:rsidRPr="001B2EA3" w:rsidRDefault="00CC07AC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szCs w:val="10"/>
                      <w:lang w:val="en-US"/>
                    </w:rPr>
                    <w:t>P 302+352-305+351+338</w:t>
                  </w:r>
                </w:p>
              </w:tc>
            </w:tr>
            <w:tr w:rsidR="00CC07AC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C07AC" w:rsidRPr="001B2EA3" w:rsidRDefault="00CC07AC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C07AC" w:rsidRPr="001B2EA3" w:rsidRDefault="00CC07AC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C07AC" w:rsidRPr="001B2EA3" w:rsidRDefault="00CC07AC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24B</w:t>
                  </w:r>
                </w:p>
              </w:tc>
            </w:tr>
          </w:tbl>
          <w:p w:rsidR="00CC07AC" w:rsidRPr="001B2EA3" w:rsidRDefault="00CC07AC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C07AC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2013-12-30T15:56:00Z</dcterms:created>
  <dcterms:modified xsi:type="dcterms:W3CDTF">2013-12-30T15:56:00Z</dcterms:modified>
</cp:coreProperties>
</file>