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Tin(IV)chloride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SnCl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AA940BF" wp14:editId="3A25B807">
                        <wp:extent cx="609600" cy="609600"/>
                        <wp:effectExtent l="0" t="0" r="0" b="0"/>
                        <wp:docPr id="239" name="Afbeelding 239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7646-78-8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CB052F">
                  <w:pPr>
                    <w:pStyle w:val="teksth"/>
                  </w:pPr>
                  <w:r w:rsidRPr="00633320">
                    <w:t>H 314-412  Veroorzaakt ernstige brandwonden en oogletsel. Schadelijk voor in het water levende organismen, met langdurige gevolgen.</w:t>
                  </w:r>
                </w:p>
                <w:p w:rsidR="00D34443" w:rsidRPr="00D34443" w:rsidRDefault="00D34443" w:rsidP="00306E94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273-280.1+3-301+330+331-305+351+338  Voorkom lozing in het milieu. Beschermende handschoenen en oogbescherming dragen.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260,5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25C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238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2013-12-22T14:46:00Z</dcterms:created>
  <dcterms:modified xsi:type="dcterms:W3CDTF">2013-12-22T14:46:00Z</dcterms:modified>
</cp:coreProperties>
</file>