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ED58B8" w:rsidRPr="008A4EA7" w:rsidTr="00ED58B8">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317"/>
              <w:gridCol w:w="282"/>
              <w:gridCol w:w="823"/>
            </w:tblGrid>
            <w:tr w:rsidR="00ED58B8" w:rsidRPr="008A4EA7" w:rsidTr="008A4EA7">
              <w:trPr>
                <w:cantSplit/>
                <w:trHeight w:hRule="exact" w:val="539"/>
                <w:jc w:val="center"/>
              </w:trPr>
              <w:tc>
                <w:tcPr>
                  <w:tcW w:w="5160" w:type="dxa"/>
                  <w:gridSpan w:val="5"/>
                  <w:shd w:val="clear" w:color="auto" w:fill="FFFF00"/>
                </w:tcPr>
                <w:p w:rsidR="00ED58B8" w:rsidRPr="008A4EA7" w:rsidRDefault="00ED58B8" w:rsidP="008A4EA7">
                  <w:pPr>
                    <w:pStyle w:val="productnaam"/>
                  </w:pPr>
                  <w:r w:rsidRPr="008A4EA7">
                    <w:rPr>
                      <w:noProof/>
                    </w:rPr>
                    <w:t>Nikkel(II)nitraat (6 aq)</w:t>
                  </w:r>
                </w:p>
                <w:p w:rsidR="00ED58B8" w:rsidRPr="008A4EA7" w:rsidRDefault="00ED58B8" w:rsidP="008A4EA7">
                  <w:pPr>
                    <w:pStyle w:val="formule"/>
                  </w:pPr>
                  <w:r w:rsidRPr="008A4EA7">
                    <w:rPr>
                      <w:noProof/>
                    </w:rPr>
                    <w:t>Ni(NO</w:t>
                  </w:r>
                  <w:r w:rsidRPr="008A4EA7">
                    <w:rPr>
                      <w:noProof/>
                      <w:position w:val="-4"/>
                      <w:sz w:val="13"/>
                    </w:rPr>
                    <w:t>3</w:t>
                  </w:r>
                  <w:r w:rsidRPr="008A4EA7">
                    <w:rPr>
                      <w:noProof/>
                    </w:rPr>
                    <w:t>)</w:t>
                  </w:r>
                  <w:r w:rsidRPr="008A4EA7">
                    <w:rPr>
                      <w:noProof/>
                      <w:position w:val="-4"/>
                      <w:sz w:val="13"/>
                    </w:rPr>
                    <w:t>2</w:t>
                  </w:r>
                  <w:r w:rsidRPr="008A4EA7">
                    <w:rPr>
                      <w:noProof/>
                    </w:rPr>
                    <w:t>.6H</w:t>
                  </w:r>
                  <w:r w:rsidRPr="008A4EA7">
                    <w:rPr>
                      <w:noProof/>
                      <w:position w:val="-4"/>
                      <w:sz w:val="13"/>
                    </w:rPr>
                    <w:t>2</w:t>
                  </w:r>
                  <w:r w:rsidRPr="008A4EA7">
                    <w:rPr>
                      <w:noProof/>
                    </w:rPr>
                    <w:t>O</w:t>
                  </w:r>
                  <w:r>
                    <w:tab/>
                  </w:r>
                </w:p>
              </w:tc>
            </w:tr>
            <w:tr w:rsidR="00ED58B8" w:rsidRPr="008A4EA7" w:rsidTr="008A4EA7">
              <w:trPr>
                <w:cantSplit/>
                <w:trHeight w:hRule="exact" w:val="964"/>
                <w:jc w:val="center"/>
              </w:trPr>
              <w:tc>
                <w:tcPr>
                  <w:tcW w:w="4337" w:type="dxa"/>
                  <w:gridSpan w:val="4"/>
                  <w:tcMar>
                    <w:top w:w="11" w:type="dxa"/>
                    <w:left w:w="11" w:type="dxa"/>
                    <w:right w:w="0" w:type="dxa"/>
                  </w:tcMar>
                  <w:vAlign w:val="center"/>
                </w:tcPr>
                <w:p w:rsidR="00ED58B8" w:rsidRPr="008A4EA7" w:rsidRDefault="00ED58B8" w:rsidP="008A4EA7">
                  <w:pPr>
                    <w:pStyle w:val="picto"/>
                    <w:rPr>
                      <w:lang w:val="en-US"/>
                    </w:rPr>
                  </w:pPr>
                  <w:r>
                    <w:rPr>
                      <w:noProof/>
                      <w:lang w:val="nl-BE" w:eastAsia="nl-BE"/>
                    </w:rPr>
                    <w:drawing>
                      <wp:inline distT="0" distB="0" distL="0" distR="0" wp14:anchorId="7B738D18" wp14:editId="1AF8DCB7">
                        <wp:extent cx="542925" cy="542925"/>
                        <wp:effectExtent l="0" t="0" r="9525" b="9525"/>
                        <wp:docPr id="30" name="Afbeelding 30" descr="C:\dBGS\GH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BGS\GHS03.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8A4EA7">
                    <w:rPr>
                      <w:lang w:val="en-US"/>
                    </w:rPr>
                    <w:t xml:space="preserve"> </w:t>
                  </w:r>
                  <w:r>
                    <w:rPr>
                      <w:noProof/>
                      <w:lang w:val="nl-BE" w:eastAsia="nl-BE"/>
                    </w:rPr>
                    <w:drawing>
                      <wp:inline distT="0" distB="0" distL="0" distR="0" wp14:anchorId="583809DB" wp14:editId="78DF0B4B">
                        <wp:extent cx="542925" cy="542925"/>
                        <wp:effectExtent l="0" t="0" r="9525" b="9525"/>
                        <wp:docPr id="31" name="Afbeelding 31" descr="C:\dBGS\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BGS\GHS0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8A4EA7">
                    <w:rPr>
                      <w:lang w:val="en-US"/>
                    </w:rPr>
                    <w:t xml:space="preserve"> </w:t>
                  </w:r>
                  <w:r>
                    <w:rPr>
                      <w:noProof/>
                      <w:lang w:val="nl-BE" w:eastAsia="nl-BE"/>
                    </w:rPr>
                    <w:drawing>
                      <wp:inline distT="0" distB="0" distL="0" distR="0" wp14:anchorId="1FC13C4D" wp14:editId="533319C8">
                        <wp:extent cx="542925" cy="542925"/>
                        <wp:effectExtent l="0" t="0" r="9525" b="9525"/>
                        <wp:docPr id="32" name="Afbeelding 32"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BGS\GHS0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8A4EA7">
                    <w:rPr>
                      <w:lang w:val="en-US"/>
                    </w:rPr>
                    <w:t xml:space="preserve"> </w:t>
                  </w:r>
                  <w:r>
                    <w:rPr>
                      <w:noProof/>
                      <w:lang w:val="nl-BE" w:eastAsia="nl-BE"/>
                    </w:rPr>
                    <w:drawing>
                      <wp:inline distT="0" distB="0" distL="0" distR="0" wp14:anchorId="6A70F641" wp14:editId="0AA40B56">
                        <wp:extent cx="542925" cy="542925"/>
                        <wp:effectExtent l="0" t="0" r="9525" b="9525"/>
                        <wp:docPr id="33" name="Afbeelding 33"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BGS\GHS07.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8A4EA7">
                    <w:rPr>
                      <w:lang w:val="en-US"/>
                    </w:rPr>
                    <w:t xml:space="preserve"> </w:t>
                  </w:r>
                  <w:r>
                    <w:rPr>
                      <w:noProof/>
                      <w:lang w:val="nl-BE" w:eastAsia="nl-BE"/>
                    </w:rPr>
                    <w:drawing>
                      <wp:inline distT="0" distB="0" distL="0" distR="0" wp14:anchorId="52538F0C" wp14:editId="6AA3B106">
                        <wp:extent cx="542925" cy="542925"/>
                        <wp:effectExtent l="0" t="0" r="9525" b="9525"/>
                        <wp:docPr id="34" name="Afbeelding 34"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BGS\GHS09.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8A4EA7">
                    <w:rPr>
                      <w:lang w:val="en-US"/>
                    </w:rPr>
                    <w:t xml:space="preserve"> </w:t>
                  </w:r>
                </w:p>
              </w:tc>
              <w:tc>
                <w:tcPr>
                  <w:tcW w:w="823" w:type="dxa"/>
                  <w:tcMar>
                    <w:top w:w="11" w:type="dxa"/>
                    <w:left w:w="0" w:type="dxa"/>
                    <w:right w:w="11" w:type="dxa"/>
                  </w:tcMar>
                </w:tcPr>
                <w:p w:rsidR="00ED58B8" w:rsidRPr="008A4EA7" w:rsidRDefault="00ED58B8" w:rsidP="00A31151">
                  <w:pPr>
                    <w:pStyle w:val="cas"/>
                    <w:rPr>
                      <w:lang w:val="en-US"/>
                    </w:rPr>
                  </w:pPr>
                  <w:r w:rsidRPr="008A4EA7">
                    <w:rPr>
                      <w:noProof/>
                      <w:lang w:val="en-US"/>
                    </w:rPr>
                    <w:t>CAS</w:t>
                  </w:r>
                </w:p>
                <w:p w:rsidR="00ED58B8" w:rsidRPr="008A4EA7" w:rsidRDefault="00ED58B8" w:rsidP="00A31151">
                  <w:pPr>
                    <w:pStyle w:val="cas"/>
                    <w:rPr>
                      <w:lang w:val="en-US"/>
                    </w:rPr>
                  </w:pPr>
                  <w:r w:rsidRPr="008A4EA7">
                    <w:rPr>
                      <w:noProof/>
                      <w:lang w:val="en-US"/>
                    </w:rPr>
                    <w:t>13478-00-7</w:t>
                  </w:r>
                </w:p>
                <w:p w:rsidR="00ED58B8" w:rsidRPr="008A4EA7" w:rsidRDefault="00ED58B8" w:rsidP="00A31151">
                  <w:pPr>
                    <w:pStyle w:val="signaalzin"/>
                    <w:rPr>
                      <w:lang w:val="en-US"/>
                    </w:rPr>
                  </w:pPr>
                  <w:r w:rsidRPr="008A4EA7">
                    <w:rPr>
                      <w:lang w:val="en-US"/>
                    </w:rPr>
                    <w:t>Gevaar</w:t>
                  </w:r>
                </w:p>
              </w:tc>
            </w:tr>
            <w:tr w:rsidR="00ED58B8" w:rsidRPr="008A4EA7" w:rsidTr="008A4EA7">
              <w:trPr>
                <w:cantSplit/>
                <w:trHeight w:hRule="exact" w:val="1644"/>
                <w:jc w:val="center"/>
              </w:trPr>
              <w:tc>
                <w:tcPr>
                  <w:tcW w:w="5160" w:type="dxa"/>
                  <w:gridSpan w:val="5"/>
                  <w:tcBorders>
                    <w:bottom w:val="nil"/>
                  </w:tcBorders>
                </w:tcPr>
                <w:p w:rsidR="00ED58B8" w:rsidRPr="008A4EA7" w:rsidRDefault="00ED58B8" w:rsidP="008A4EA7">
                  <w:pPr>
                    <w:pStyle w:val="teksth"/>
                    <w:spacing w:line="140" w:lineRule="exact"/>
                    <w:rPr>
                      <w:sz w:val="14"/>
                    </w:rPr>
                  </w:pPr>
                  <w:r w:rsidRPr="008A4EA7">
                    <w:rPr>
                      <w:sz w:val="14"/>
                    </w:rPr>
                    <w:t>H 272-350i-341-360D-372-332-302-318-315-317-410  Kan brand bevorderen; oxiderend. Kan kanker veroorzaken bij inademing. Verdacht van het veroorzaken van genetische schade. Kan het ongeboren kind schaden. Veroorzaakt schade aan organen bij langdurige of herhaalde blootstelling. Schadelijk bij inademing. Schadelijk bij inslikken. Veroorzaakt ernstig oogletsel. Veroorzaakt huidirritatie. Kan een allergische huidreactie veroorzaken. Zeer giftig voor in het water levende organismen, met langdurige gevolgen.</w:t>
                  </w:r>
                </w:p>
                <w:p w:rsidR="00ED58B8" w:rsidRPr="008A4EA7" w:rsidRDefault="00ED58B8" w:rsidP="008A4EA7">
                  <w:pPr>
                    <w:pStyle w:val="tekstp"/>
                    <w:spacing w:line="140" w:lineRule="exact"/>
                  </w:pPr>
                  <w:r w:rsidRPr="008A4EA7">
                    <w:rPr>
                      <w:noProof/>
                      <w:sz w:val="14"/>
                    </w:rPr>
                    <w:t>P 201-261-273-280.1+3-308+313  Alvorens te gebruiken de speciale aanwijzingen raadplegen. Inademing van stof/rook/gas/nevel/damp/spuitnevel vermijden. Voorkom lozing in het milieu. Beschermende handschoenen en oogbescherming dragen. Na (mogelijke) blootstelling: een arts raadplegen.</w:t>
                  </w:r>
                </w:p>
              </w:tc>
            </w:tr>
            <w:tr w:rsidR="00ED58B8" w:rsidRPr="008A4EA7" w:rsidTr="008A4EA7">
              <w:trPr>
                <w:cantSplit/>
                <w:trHeight w:hRule="exact" w:val="170"/>
                <w:jc w:val="center"/>
              </w:trPr>
              <w:tc>
                <w:tcPr>
                  <w:tcW w:w="671" w:type="dxa"/>
                  <w:tcBorders>
                    <w:top w:val="nil"/>
                    <w:bottom w:val="single" w:sz="4" w:space="0" w:color="auto"/>
                  </w:tcBorders>
                  <w:shd w:val="clear" w:color="auto" w:fill="FFFF00"/>
                </w:tcPr>
                <w:p w:rsidR="00ED58B8" w:rsidRPr="008A4EA7" w:rsidRDefault="00ED58B8" w:rsidP="00A31151">
                  <w:pPr>
                    <w:pStyle w:val="WGK"/>
                    <w:rPr>
                      <w:lang w:val="en-US"/>
                    </w:rPr>
                  </w:pPr>
                  <w:r w:rsidRPr="008A4EA7">
                    <w:rPr>
                      <w:lang w:val="en-US"/>
                    </w:rPr>
                    <w:t>WGK 3</w:t>
                  </w:r>
                </w:p>
              </w:tc>
              <w:tc>
                <w:tcPr>
                  <w:tcW w:w="1067" w:type="dxa"/>
                  <w:tcBorders>
                    <w:top w:val="nil"/>
                    <w:bottom w:val="single" w:sz="4" w:space="0" w:color="auto"/>
                  </w:tcBorders>
                  <w:shd w:val="clear" w:color="auto" w:fill="FFFF00"/>
                </w:tcPr>
                <w:p w:rsidR="00ED58B8" w:rsidRPr="008A4EA7" w:rsidRDefault="00ED58B8" w:rsidP="00A31151">
                  <w:pPr>
                    <w:pStyle w:val="Mr"/>
                    <w:rPr>
                      <w:lang w:val="en-US"/>
                    </w:rPr>
                  </w:pPr>
                  <w:r w:rsidRPr="008A4EA7">
                    <w:rPr>
                      <w:noProof/>
                      <w:lang w:val="en-US"/>
                    </w:rPr>
                    <w:t>Mr: 290,81</w:t>
                  </w:r>
                </w:p>
              </w:tc>
              <w:tc>
                <w:tcPr>
                  <w:tcW w:w="2317" w:type="dxa"/>
                  <w:tcBorders>
                    <w:top w:val="nil"/>
                    <w:bottom w:val="single" w:sz="4" w:space="0" w:color="auto"/>
                  </w:tcBorders>
                  <w:shd w:val="clear" w:color="auto" w:fill="FFFF00"/>
                </w:tcPr>
                <w:p w:rsidR="00ED58B8" w:rsidRPr="008A4EA7" w:rsidRDefault="00ED58B8" w:rsidP="00A31151">
                  <w:pPr>
                    <w:pStyle w:val="school"/>
                  </w:pPr>
                  <w:r w:rsidRPr="008A4EA7">
                    <w:rPr>
                      <w:noProof/>
                      <w:lang w:val="en-US"/>
                    </w:rPr>
                    <w:t>KHLim</w:t>
                  </w:r>
                </w:p>
              </w:tc>
              <w:tc>
                <w:tcPr>
                  <w:tcW w:w="1105" w:type="dxa"/>
                  <w:gridSpan w:val="2"/>
                  <w:tcBorders>
                    <w:top w:val="nil"/>
                    <w:bottom w:val="single" w:sz="4" w:space="0" w:color="auto"/>
                  </w:tcBorders>
                  <w:shd w:val="clear" w:color="auto" w:fill="FFFF00"/>
                </w:tcPr>
                <w:p w:rsidR="00ED58B8" w:rsidRPr="008A4EA7" w:rsidRDefault="00ED58B8" w:rsidP="00A31151">
                  <w:pPr>
                    <w:pStyle w:val="inventaris"/>
                    <w:rPr>
                      <w:lang w:val="en-US"/>
                    </w:rPr>
                  </w:pPr>
                  <w:r w:rsidRPr="008A4EA7">
                    <w:rPr>
                      <w:lang w:val="en-US"/>
                    </w:rPr>
                    <w:t>25C</w:t>
                  </w:r>
                </w:p>
              </w:tc>
            </w:tr>
          </w:tbl>
          <w:p w:rsidR="00ED58B8" w:rsidRPr="008A4EA7" w:rsidRDefault="00ED58B8" w:rsidP="00A31151">
            <w:pPr>
              <w:spacing w:line="20" w:lineRule="exact"/>
              <w:jc w:val="center"/>
              <w:rPr>
                <w:lang w:val="en-US"/>
              </w:rPr>
            </w:pPr>
          </w:p>
        </w:tc>
      </w:tr>
    </w:tbl>
    <w:p w:rsidR="008A4EA7" w:rsidRPr="00A31151" w:rsidRDefault="008A4EA7" w:rsidP="008A4EA7">
      <w:pPr>
        <w:spacing w:line="20" w:lineRule="exact"/>
        <w:rPr>
          <w:lang w:val="en-US"/>
        </w:rPr>
      </w:pPr>
      <w:bookmarkStart w:id="0" w:name="_GoBack"/>
      <w:bookmarkEnd w:id="0"/>
    </w:p>
    <w:sectPr w:rsidR="008A4EA7" w:rsidRPr="00A31151" w:rsidSect="008A4EA7">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12509"/>
    <w:rsid w:val="00274C65"/>
    <w:rsid w:val="002F17A2"/>
    <w:rsid w:val="00306E94"/>
    <w:rsid w:val="003602B1"/>
    <w:rsid w:val="003972C8"/>
    <w:rsid w:val="003A1A4F"/>
    <w:rsid w:val="003C438E"/>
    <w:rsid w:val="00451AAA"/>
    <w:rsid w:val="004754A7"/>
    <w:rsid w:val="006337D2"/>
    <w:rsid w:val="006D1DF8"/>
    <w:rsid w:val="006E66E5"/>
    <w:rsid w:val="006F2CE0"/>
    <w:rsid w:val="0070215E"/>
    <w:rsid w:val="007641E3"/>
    <w:rsid w:val="007752E6"/>
    <w:rsid w:val="008533A2"/>
    <w:rsid w:val="008A4EA7"/>
    <w:rsid w:val="00A31151"/>
    <w:rsid w:val="00AD3E81"/>
    <w:rsid w:val="00AD7899"/>
    <w:rsid w:val="00B971B6"/>
    <w:rsid w:val="00BA7E99"/>
    <w:rsid w:val="00CB052F"/>
    <w:rsid w:val="00DB12AC"/>
    <w:rsid w:val="00DE5A6C"/>
    <w:rsid w:val="00DF623D"/>
    <w:rsid w:val="00E45A2B"/>
    <w:rsid w:val="00E57485"/>
    <w:rsid w:val="00ED58B8"/>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2013-12-30T15:18:00Z</dcterms:created>
  <dcterms:modified xsi:type="dcterms:W3CDTF">2013-12-30T15:18:00Z</dcterms:modified>
</cp:coreProperties>
</file>