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Azijnzuur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COOH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86E4E2C" wp14:editId="5AB9AE92">
                        <wp:extent cx="609600" cy="609600"/>
                        <wp:effectExtent l="0" t="0" r="0" b="0"/>
                        <wp:docPr id="21" name="Afbeelding 21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06B06E9" wp14:editId="44F4D363">
                        <wp:extent cx="609600" cy="609600"/>
                        <wp:effectExtent l="0" t="0" r="0" b="0"/>
                        <wp:docPr id="22" name="Afbeelding 22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64-19-7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</w:pPr>
                  <w:r w:rsidRPr="00D34443">
                    <w:t>H 226-314  Ontvlambare vloeistof en damp. Veroorzaakt ernstige brandwonden en oogletsel.</w:t>
                  </w: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  <w:r w:rsidRPr="00D34443">
                    <w:rPr>
                      <w:noProof/>
                    </w:rPr>
                    <w:t xml:space="preserve">P 280.1+3+7-301+330+331-305+351+338  Beschermende handschoenen en oogbescherming dragen en in afzuigkast werken. NA INSLIKKEN: de mond spoelen — GEEN braken opwekken.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60,05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46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95689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2013-12-17T15:24:00Z</dcterms:created>
  <dcterms:modified xsi:type="dcterms:W3CDTF">2013-12-17T15:24:00Z</dcterms:modified>
</cp:coreProperties>
</file>