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Aceton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COCH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88F5E6" wp14:editId="314E51DF">
                        <wp:extent cx="609600" cy="609600"/>
                        <wp:effectExtent l="0" t="0" r="0" b="0"/>
                        <wp:docPr id="5" name="Afbeelding 5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A79F45" wp14:editId="4D95E9F1">
                        <wp:extent cx="609600" cy="609600"/>
                        <wp:effectExtent l="0" t="0" r="0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67-64-1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</w:pPr>
                  <w:r w:rsidRPr="00D34443">
                    <w:t>H 225-319-336-EUH066  Licht ontvlambare vloeistof en damp. Veroorzaakt ernstige oogirritatie. Kan slaperigheid of duizeligheid veroorzaken. Herhaalde blootstelling kan een droge of een gebarsten huid veroorzaken.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210-233-305+351+338  Verwijderd houden van warmte/vonken/open vuur/hete oppervlakken. — Niet roken. In goed gesloten verpakking bewaren.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58,08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A6C4C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2013-12-17T16:12:00Z</dcterms:created>
  <dcterms:modified xsi:type="dcterms:W3CDTF">2013-12-17T16:12:00Z</dcterms:modified>
</cp:coreProperties>
</file>