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15648" w:type="dxa"/>
        <w:tblLook w:val="04A0" w:firstRow="1" w:lastRow="0" w:firstColumn="1" w:lastColumn="0" w:noHBand="0" w:noVBand="1"/>
      </w:tblPr>
      <w:tblGrid>
        <w:gridCol w:w="7257"/>
        <w:gridCol w:w="567"/>
        <w:gridCol w:w="567"/>
        <w:gridCol w:w="7257"/>
      </w:tblGrid>
      <w:tr w:rsidR="00F26FB0" w:rsidTr="00C87AB9">
        <w:tc>
          <w:tcPr>
            <w:tcW w:w="7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976B9" w:rsidRPr="00C976B9" w:rsidRDefault="00C976B9" w:rsidP="00C976B9">
            <w:pPr>
              <w:spacing w:line="276" w:lineRule="auto"/>
              <w:jc w:val="center"/>
              <w:rPr>
                <w:sz w:val="40"/>
                <w:szCs w:val="40"/>
              </w:rPr>
            </w:pPr>
          </w:p>
          <w:p w:rsidR="00C976B9" w:rsidRPr="00C976B9" w:rsidRDefault="00C976B9" w:rsidP="00C976B9">
            <w:pPr>
              <w:spacing w:line="276" w:lineRule="auto"/>
              <w:jc w:val="center"/>
              <w:rPr>
                <w:sz w:val="40"/>
                <w:szCs w:val="40"/>
              </w:rPr>
            </w:pPr>
          </w:p>
          <w:p w:rsidR="00C976B9" w:rsidRPr="00C976B9" w:rsidRDefault="00C976B9" w:rsidP="00C976B9">
            <w:pPr>
              <w:spacing w:line="276" w:lineRule="auto"/>
              <w:jc w:val="center"/>
              <w:rPr>
                <w:sz w:val="40"/>
                <w:szCs w:val="40"/>
              </w:rPr>
            </w:pPr>
          </w:p>
          <w:p w:rsidR="00C976B9" w:rsidRPr="00C976B9" w:rsidRDefault="00C976B9" w:rsidP="00C976B9">
            <w:pPr>
              <w:spacing w:line="276" w:lineRule="auto"/>
              <w:jc w:val="center"/>
              <w:rPr>
                <w:sz w:val="40"/>
                <w:szCs w:val="40"/>
              </w:rPr>
            </w:pPr>
            <w:r w:rsidRPr="00C976B9">
              <w:rPr>
                <w:sz w:val="40"/>
                <w:szCs w:val="40"/>
              </w:rPr>
              <w:t xml:space="preserve">a) </w:t>
            </w:r>
            <w:proofErr w:type="spellStart"/>
            <w:r w:rsidRPr="00C976B9">
              <w:rPr>
                <w:sz w:val="40"/>
                <w:szCs w:val="40"/>
              </w:rPr>
              <w:t>Labojas</w:t>
            </w:r>
            <w:proofErr w:type="spellEnd"/>
            <w:r w:rsidRPr="00C976B9">
              <w:rPr>
                <w:sz w:val="40"/>
                <w:szCs w:val="40"/>
              </w:rPr>
              <w:t>, bril, handschoenen, gesloten schoeisel.</w:t>
            </w:r>
          </w:p>
          <w:p w:rsidR="00C976B9" w:rsidRPr="00C976B9" w:rsidRDefault="00C976B9" w:rsidP="00C976B9">
            <w:pPr>
              <w:spacing w:line="276" w:lineRule="auto"/>
              <w:jc w:val="center"/>
              <w:rPr>
                <w:sz w:val="40"/>
                <w:szCs w:val="40"/>
              </w:rPr>
            </w:pPr>
          </w:p>
          <w:p w:rsidR="00F26FB0" w:rsidRDefault="00F26FB0"/>
        </w:tc>
        <w:tc>
          <w:tcPr>
            <w:tcW w:w="567" w:type="dxa"/>
            <w:tcBorders>
              <w:left w:val="single" w:sz="4" w:space="0" w:color="FFFFFF" w:themeColor="background1"/>
            </w:tcBorders>
          </w:tcPr>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Pr="00E76C49" w:rsidRDefault="00F26FB0" w:rsidP="00F40AB2">
            <w:pPr>
              <w:pStyle w:val="Geenafstand"/>
              <w:jc w:val="center"/>
              <w:rPr>
                <w:rFonts w:ascii="Harlow Solid Italic" w:hAnsi="Harlow Solid Italic"/>
                <w:sz w:val="36"/>
                <w:szCs w:val="40"/>
              </w:rPr>
            </w:pPr>
          </w:p>
        </w:tc>
        <w:tc>
          <w:tcPr>
            <w:tcW w:w="567" w:type="dxa"/>
            <w:tcBorders>
              <w:right w:val="single" w:sz="4" w:space="0" w:color="FFFFFF" w:themeColor="background1"/>
            </w:tcBorders>
          </w:tcPr>
          <w:p w:rsidR="00F26FB0" w:rsidRPr="00E76C49" w:rsidRDefault="00F26FB0" w:rsidP="00F40AB2">
            <w:pPr>
              <w:pStyle w:val="Geenafstand"/>
              <w:jc w:val="center"/>
              <w:rPr>
                <w:rFonts w:ascii="Harlow Solid Italic" w:hAnsi="Harlow Solid Italic"/>
                <w:sz w:val="36"/>
                <w:szCs w:val="40"/>
              </w:rPr>
            </w:pPr>
          </w:p>
        </w:tc>
        <w:tc>
          <w:tcPr>
            <w:tcW w:w="7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976B9" w:rsidRPr="00C976B9" w:rsidRDefault="00C976B9" w:rsidP="00C976B9">
            <w:pPr>
              <w:jc w:val="center"/>
              <w:rPr>
                <w:sz w:val="40"/>
                <w:szCs w:val="40"/>
              </w:rPr>
            </w:pPr>
          </w:p>
          <w:p w:rsidR="00C976B9" w:rsidRPr="00C976B9" w:rsidRDefault="00C976B9" w:rsidP="00C976B9">
            <w:pPr>
              <w:jc w:val="center"/>
              <w:rPr>
                <w:sz w:val="40"/>
                <w:szCs w:val="40"/>
              </w:rPr>
            </w:pPr>
          </w:p>
          <w:p w:rsidR="00C976B9" w:rsidRPr="00C976B9" w:rsidRDefault="00C976B9" w:rsidP="00C976B9">
            <w:pPr>
              <w:jc w:val="center"/>
              <w:rPr>
                <w:sz w:val="40"/>
                <w:szCs w:val="40"/>
              </w:rPr>
            </w:pPr>
          </w:p>
          <w:p w:rsidR="00C976B9" w:rsidRPr="00C976B9" w:rsidRDefault="00C976B9" w:rsidP="00C976B9">
            <w:pPr>
              <w:jc w:val="center"/>
              <w:rPr>
                <w:sz w:val="40"/>
                <w:szCs w:val="40"/>
              </w:rPr>
            </w:pPr>
          </w:p>
          <w:p w:rsidR="00F26FB0" w:rsidRPr="00F31A3D" w:rsidRDefault="00C976B9" w:rsidP="00C976B9">
            <w:pPr>
              <w:jc w:val="center"/>
              <w:rPr>
                <w:rFonts w:ascii="Harlow Solid Italic" w:hAnsi="Harlow Solid Italic"/>
                <w:sz w:val="36"/>
                <w:szCs w:val="36"/>
              </w:rPr>
            </w:pPr>
            <w:r w:rsidRPr="00C976B9">
              <w:rPr>
                <w:sz w:val="40"/>
                <w:szCs w:val="40"/>
              </w:rPr>
              <w:t>Niet waar.</w:t>
            </w:r>
          </w:p>
        </w:tc>
      </w:tr>
      <w:tr w:rsidR="00D55403" w:rsidTr="00C87AB9">
        <w:tc>
          <w:tcPr>
            <w:tcW w:w="7257" w:type="dxa"/>
            <w:tcBorders>
              <w:top w:val="single" w:sz="4" w:space="0" w:color="FFFFFF" w:themeColor="background1"/>
            </w:tcBorders>
          </w:tcPr>
          <w:p w:rsidR="00D55403" w:rsidRDefault="00D55403"/>
        </w:tc>
        <w:tc>
          <w:tcPr>
            <w:tcW w:w="567" w:type="dxa"/>
          </w:tcPr>
          <w:p w:rsidR="00D55403" w:rsidRDefault="00D55403"/>
        </w:tc>
        <w:tc>
          <w:tcPr>
            <w:tcW w:w="567" w:type="dxa"/>
          </w:tcPr>
          <w:p w:rsidR="00D55403" w:rsidRDefault="00D55403"/>
        </w:tc>
        <w:tc>
          <w:tcPr>
            <w:tcW w:w="7257" w:type="dxa"/>
            <w:tcBorders>
              <w:top w:val="single" w:sz="4" w:space="0" w:color="FFFFFF" w:themeColor="background1"/>
            </w:tcBorders>
          </w:tcPr>
          <w:p w:rsidR="00D55403" w:rsidRDefault="00D55403"/>
        </w:tc>
      </w:tr>
      <w:tr w:rsidR="00D55403" w:rsidTr="00C87AB9">
        <w:tc>
          <w:tcPr>
            <w:tcW w:w="7257" w:type="dxa"/>
            <w:tcBorders>
              <w:bottom w:val="single" w:sz="4" w:space="0" w:color="FFFFFF" w:themeColor="background1"/>
            </w:tcBorders>
          </w:tcPr>
          <w:p w:rsidR="00D55403" w:rsidRDefault="00D55403"/>
        </w:tc>
        <w:tc>
          <w:tcPr>
            <w:tcW w:w="567" w:type="dxa"/>
          </w:tcPr>
          <w:p w:rsidR="00D55403" w:rsidRDefault="00D55403"/>
        </w:tc>
        <w:tc>
          <w:tcPr>
            <w:tcW w:w="567" w:type="dxa"/>
          </w:tcPr>
          <w:p w:rsidR="00D55403" w:rsidRDefault="00D55403"/>
        </w:tc>
        <w:tc>
          <w:tcPr>
            <w:tcW w:w="7257" w:type="dxa"/>
            <w:tcBorders>
              <w:bottom w:val="single" w:sz="4" w:space="0" w:color="FFFFFF" w:themeColor="background1"/>
            </w:tcBorders>
          </w:tcPr>
          <w:p w:rsidR="00D55403" w:rsidRDefault="00D55403"/>
        </w:tc>
      </w:tr>
      <w:tr w:rsidR="00F26FB0" w:rsidTr="00C87AB9">
        <w:tc>
          <w:tcPr>
            <w:tcW w:w="7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976B9" w:rsidRPr="00C976B9" w:rsidRDefault="00C976B9" w:rsidP="00C976B9">
            <w:pPr>
              <w:jc w:val="center"/>
              <w:rPr>
                <w:sz w:val="40"/>
                <w:szCs w:val="40"/>
              </w:rPr>
            </w:pPr>
          </w:p>
          <w:p w:rsidR="00C976B9" w:rsidRPr="00C976B9" w:rsidRDefault="00C976B9" w:rsidP="00C976B9">
            <w:pPr>
              <w:jc w:val="center"/>
              <w:rPr>
                <w:sz w:val="40"/>
                <w:szCs w:val="40"/>
              </w:rPr>
            </w:pPr>
          </w:p>
          <w:p w:rsidR="00C976B9" w:rsidRPr="00C976B9" w:rsidRDefault="00C976B9" w:rsidP="00C976B9">
            <w:pPr>
              <w:jc w:val="center"/>
              <w:rPr>
                <w:sz w:val="40"/>
                <w:szCs w:val="40"/>
              </w:rPr>
            </w:pPr>
          </w:p>
          <w:p w:rsidR="00C976B9" w:rsidRPr="00C976B9" w:rsidRDefault="00C976B9" w:rsidP="00C976B9">
            <w:pPr>
              <w:jc w:val="center"/>
              <w:rPr>
                <w:sz w:val="40"/>
                <w:szCs w:val="40"/>
              </w:rPr>
            </w:pPr>
          </w:p>
          <w:p w:rsidR="00F26FB0" w:rsidRDefault="00C976B9" w:rsidP="00C976B9">
            <w:pPr>
              <w:jc w:val="center"/>
            </w:pPr>
            <w:r w:rsidRPr="00C976B9">
              <w:rPr>
                <w:sz w:val="40"/>
                <w:szCs w:val="40"/>
              </w:rPr>
              <w:t>c) Het waakvlammetje gebruiken.</w:t>
            </w:r>
          </w:p>
        </w:tc>
        <w:tc>
          <w:tcPr>
            <w:tcW w:w="567" w:type="dxa"/>
            <w:tcBorders>
              <w:left w:val="single" w:sz="4" w:space="0" w:color="FFFFFF" w:themeColor="background1"/>
            </w:tcBorders>
          </w:tcPr>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Pr="00E76C49" w:rsidRDefault="00F26FB0" w:rsidP="00F40AB2">
            <w:pPr>
              <w:pStyle w:val="Geenafstand"/>
              <w:jc w:val="center"/>
              <w:rPr>
                <w:rFonts w:ascii="Harlow Solid Italic" w:hAnsi="Harlow Solid Italic"/>
                <w:sz w:val="36"/>
                <w:szCs w:val="40"/>
              </w:rPr>
            </w:pPr>
          </w:p>
        </w:tc>
        <w:tc>
          <w:tcPr>
            <w:tcW w:w="567" w:type="dxa"/>
            <w:tcBorders>
              <w:right w:val="single" w:sz="4" w:space="0" w:color="FFFFFF" w:themeColor="background1"/>
            </w:tcBorders>
          </w:tcPr>
          <w:p w:rsidR="00F26FB0" w:rsidRPr="00E76C49" w:rsidRDefault="00F26FB0" w:rsidP="00F40AB2">
            <w:pPr>
              <w:pStyle w:val="Geenafstand"/>
              <w:jc w:val="center"/>
              <w:rPr>
                <w:rFonts w:ascii="Harlow Solid Italic" w:hAnsi="Harlow Solid Italic"/>
                <w:sz w:val="36"/>
                <w:szCs w:val="40"/>
              </w:rPr>
            </w:pPr>
          </w:p>
        </w:tc>
        <w:tc>
          <w:tcPr>
            <w:tcW w:w="7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976B9" w:rsidRPr="00C976B9" w:rsidRDefault="00C976B9" w:rsidP="00C976B9">
            <w:pPr>
              <w:jc w:val="center"/>
              <w:rPr>
                <w:sz w:val="40"/>
                <w:szCs w:val="40"/>
              </w:rPr>
            </w:pPr>
          </w:p>
          <w:p w:rsidR="00C976B9" w:rsidRPr="00C976B9" w:rsidRDefault="00C976B9" w:rsidP="00C976B9">
            <w:pPr>
              <w:jc w:val="center"/>
              <w:rPr>
                <w:sz w:val="40"/>
                <w:szCs w:val="40"/>
              </w:rPr>
            </w:pPr>
          </w:p>
          <w:p w:rsidR="00C976B9" w:rsidRPr="00C976B9" w:rsidRDefault="00C976B9" w:rsidP="00C976B9">
            <w:pPr>
              <w:jc w:val="center"/>
              <w:rPr>
                <w:sz w:val="40"/>
                <w:szCs w:val="40"/>
              </w:rPr>
            </w:pPr>
          </w:p>
          <w:p w:rsidR="00C976B9" w:rsidRPr="00C976B9" w:rsidRDefault="00C976B9" w:rsidP="00C976B9">
            <w:pPr>
              <w:jc w:val="center"/>
              <w:rPr>
                <w:sz w:val="40"/>
                <w:szCs w:val="40"/>
              </w:rPr>
            </w:pPr>
          </w:p>
          <w:p w:rsidR="00F26FB0" w:rsidRPr="00F31A3D" w:rsidRDefault="00C976B9" w:rsidP="00C976B9">
            <w:pPr>
              <w:jc w:val="center"/>
              <w:rPr>
                <w:rFonts w:ascii="Harlow Solid Italic" w:hAnsi="Harlow Solid Italic"/>
                <w:sz w:val="36"/>
                <w:szCs w:val="32"/>
                <w:lang w:val="nl"/>
              </w:rPr>
            </w:pPr>
            <w:r w:rsidRPr="00C976B9">
              <w:rPr>
                <w:sz w:val="40"/>
                <w:szCs w:val="40"/>
              </w:rPr>
              <w:t>Als de leerkracht je tafel heeft nagekeken.</w:t>
            </w:r>
          </w:p>
        </w:tc>
      </w:tr>
      <w:tr w:rsidR="00D55403" w:rsidTr="00C87AB9">
        <w:tc>
          <w:tcPr>
            <w:tcW w:w="7257" w:type="dxa"/>
            <w:tcBorders>
              <w:top w:val="single" w:sz="4" w:space="0" w:color="FFFFFF" w:themeColor="background1"/>
            </w:tcBorders>
          </w:tcPr>
          <w:p w:rsidR="00D55403" w:rsidRDefault="00D55403"/>
        </w:tc>
        <w:tc>
          <w:tcPr>
            <w:tcW w:w="567" w:type="dxa"/>
          </w:tcPr>
          <w:p w:rsidR="00D55403" w:rsidRDefault="00D55403"/>
        </w:tc>
        <w:tc>
          <w:tcPr>
            <w:tcW w:w="567" w:type="dxa"/>
          </w:tcPr>
          <w:p w:rsidR="00D55403" w:rsidRDefault="00D55403"/>
        </w:tc>
        <w:tc>
          <w:tcPr>
            <w:tcW w:w="7257" w:type="dxa"/>
            <w:tcBorders>
              <w:top w:val="single" w:sz="4" w:space="0" w:color="FFFFFF" w:themeColor="background1"/>
            </w:tcBorders>
          </w:tcPr>
          <w:p w:rsidR="00D55403" w:rsidRDefault="00D55403"/>
        </w:tc>
      </w:tr>
      <w:tr w:rsidR="00F26FB0" w:rsidTr="00C87AB9">
        <w:tc>
          <w:tcPr>
            <w:tcW w:w="7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976B9" w:rsidRDefault="00C976B9" w:rsidP="00C976B9">
            <w:pPr>
              <w:jc w:val="center"/>
              <w:rPr>
                <w:sz w:val="40"/>
                <w:szCs w:val="40"/>
              </w:rPr>
            </w:pPr>
          </w:p>
          <w:p w:rsidR="00C976B9" w:rsidRDefault="00C976B9" w:rsidP="00C976B9">
            <w:pPr>
              <w:jc w:val="center"/>
              <w:rPr>
                <w:sz w:val="40"/>
                <w:szCs w:val="40"/>
              </w:rPr>
            </w:pPr>
          </w:p>
          <w:p w:rsidR="00C976B9" w:rsidRDefault="00C976B9" w:rsidP="00C976B9">
            <w:pPr>
              <w:jc w:val="center"/>
              <w:rPr>
                <w:sz w:val="40"/>
                <w:szCs w:val="40"/>
              </w:rPr>
            </w:pPr>
          </w:p>
          <w:p w:rsidR="00C976B9" w:rsidRDefault="00C976B9" w:rsidP="00C976B9">
            <w:pPr>
              <w:jc w:val="center"/>
              <w:rPr>
                <w:sz w:val="40"/>
                <w:szCs w:val="40"/>
              </w:rPr>
            </w:pPr>
          </w:p>
          <w:p w:rsidR="00F26FB0" w:rsidRDefault="00C976B9" w:rsidP="00C976B9">
            <w:pPr>
              <w:jc w:val="center"/>
            </w:pPr>
            <w:r w:rsidRPr="00F26FB0">
              <w:rPr>
                <w:sz w:val="40"/>
                <w:szCs w:val="40"/>
              </w:rPr>
              <w:t>Nee.</w:t>
            </w:r>
            <w:r>
              <w:rPr>
                <w:sz w:val="40"/>
                <w:szCs w:val="40"/>
              </w:rPr>
              <w:t xml:space="preserve"> </w:t>
            </w:r>
          </w:p>
        </w:tc>
        <w:tc>
          <w:tcPr>
            <w:tcW w:w="567" w:type="dxa"/>
            <w:tcBorders>
              <w:left w:val="single" w:sz="4" w:space="0" w:color="FFFFFF" w:themeColor="background1"/>
            </w:tcBorders>
          </w:tcPr>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Pr="00E76C49" w:rsidRDefault="00F26FB0" w:rsidP="00F40AB2">
            <w:pPr>
              <w:pStyle w:val="Geenafstand"/>
              <w:jc w:val="center"/>
              <w:rPr>
                <w:rFonts w:ascii="Harlow Solid Italic" w:hAnsi="Harlow Solid Italic"/>
                <w:sz w:val="36"/>
                <w:szCs w:val="40"/>
              </w:rPr>
            </w:pPr>
          </w:p>
        </w:tc>
        <w:tc>
          <w:tcPr>
            <w:tcW w:w="567" w:type="dxa"/>
            <w:tcBorders>
              <w:right w:val="single" w:sz="4" w:space="0" w:color="FFFFFF" w:themeColor="background1"/>
            </w:tcBorders>
          </w:tcPr>
          <w:p w:rsidR="00F26FB0" w:rsidRPr="00E76C49" w:rsidRDefault="00F26FB0" w:rsidP="00F40AB2">
            <w:pPr>
              <w:pStyle w:val="Geenafstand"/>
              <w:jc w:val="center"/>
              <w:rPr>
                <w:rFonts w:ascii="Harlow Solid Italic" w:hAnsi="Harlow Solid Italic"/>
                <w:sz w:val="36"/>
                <w:szCs w:val="40"/>
              </w:rPr>
            </w:pPr>
          </w:p>
        </w:tc>
        <w:tc>
          <w:tcPr>
            <w:tcW w:w="7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976B9" w:rsidRDefault="00C976B9" w:rsidP="00C976B9">
            <w:pPr>
              <w:shd w:val="clear" w:color="auto" w:fill="FFFFFF"/>
              <w:jc w:val="center"/>
              <w:rPr>
                <w:sz w:val="40"/>
                <w:szCs w:val="40"/>
                <w:lang w:val="nl-NL"/>
              </w:rPr>
            </w:pPr>
          </w:p>
          <w:p w:rsidR="00F26FB0" w:rsidRDefault="00C976B9" w:rsidP="00C976B9">
            <w:pPr>
              <w:jc w:val="center"/>
            </w:pPr>
            <w:r w:rsidRPr="00F26FB0">
              <w:rPr>
                <w:sz w:val="40"/>
                <w:szCs w:val="40"/>
                <w:lang w:val="nl-NL"/>
              </w:rPr>
              <w:t>Het luchtvolume heeft een invloed op de verbrandingstijd van de kaars. Hoe groter het luchtvolume, hoe langer de verbrandingstijd duurt. In de lucht is zuurstof aanwezig dus hoe meer lucht, hoe meer zuurstof en hoe langer de kaars brandt.</w:t>
            </w:r>
          </w:p>
        </w:tc>
      </w:tr>
      <w:tr w:rsidR="00D55403" w:rsidTr="00C87AB9">
        <w:tc>
          <w:tcPr>
            <w:tcW w:w="7257" w:type="dxa"/>
            <w:tcBorders>
              <w:top w:val="single" w:sz="4" w:space="0" w:color="FFFFFF" w:themeColor="background1"/>
            </w:tcBorders>
          </w:tcPr>
          <w:p w:rsidR="00D55403" w:rsidRDefault="00D55403" w:rsidP="00F31A3D">
            <w:pPr>
              <w:pStyle w:val="Geenafstand"/>
              <w:jc w:val="center"/>
            </w:pPr>
          </w:p>
        </w:tc>
        <w:tc>
          <w:tcPr>
            <w:tcW w:w="567" w:type="dxa"/>
          </w:tcPr>
          <w:p w:rsidR="00D55403" w:rsidRPr="00D848CE" w:rsidRDefault="00D55403" w:rsidP="00F31A3D">
            <w:pPr>
              <w:pStyle w:val="Geenafstand"/>
              <w:jc w:val="center"/>
            </w:pPr>
          </w:p>
        </w:tc>
        <w:tc>
          <w:tcPr>
            <w:tcW w:w="567" w:type="dxa"/>
          </w:tcPr>
          <w:p w:rsidR="00D55403" w:rsidRPr="00D848CE" w:rsidRDefault="00D55403" w:rsidP="00F31A3D">
            <w:pPr>
              <w:pStyle w:val="Geenafstand"/>
              <w:jc w:val="center"/>
            </w:pPr>
          </w:p>
        </w:tc>
        <w:tc>
          <w:tcPr>
            <w:tcW w:w="7257" w:type="dxa"/>
            <w:tcBorders>
              <w:top w:val="single" w:sz="4" w:space="0" w:color="FFFFFF" w:themeColor="background1"/>
            </w:tcBorders>
          </w:tcPr>
          <w:p w:rsidR="00D55403" w:rsidRPr="00D848CE" w:rsidRDefault="00D55403" w:rsidP="000B46FB">
            <w:pPr>
              <w:jc w:val="center"/>
            </w:pPr>
          </w:p>
        </w:tc>
      </w:tr>
      <w:tr w:rsidR="00D55403" w:rsidTr="00C87AB9">
        <w:tc>
          <w:tcPr>
            <w:tcW w:w="7257" w:type="dxa"/>
            <w:tcBorders>
              <w:bottom w:val="single" w:sz="4" w:space="0" w:color="FFFFFF" w:themeColor="background1"/>
            </w:tcBorders>
          </w:tcPr>
          <w:p w:rsidR="00D55403" w:rsidRDefault="00D55403" w:rsidP="00F31A3D">
            <w:pPr>
              <w:pStyle w:val="Geenafstand"/>
              <w:jc w:val="center"/>
            </w:pPr>
          </w:p>
        </w:tc>
        <w:tc>
          <w:tcPr>
            <w:tcW w:w="567" w:type="dxa"/>
          </w:tcPr>
          <w:p w:rsidR="00D55403" w:rsidRPr="00D848CE" w:rsidRDefault="00D55403" w:rsidP="00F31A3D">
            <w:pPr>
              <w:pStyle w:val="Geenafstand"/>
              <w:jc w:val="center"/>
            </w:pPr>
          </w:p>
        </w:tc>
        <w:tc>
          <w:tcPr>
            <w:tcW w:w="567" w:type="dxa"/>
          </w:tcPr>
          <w:p w:rsidR="00D55403" w:rsidRPr="00D848CE" w:rsidRDefault="00D55403" w:rsidP="00F31A3D">
            <w:pPr>
              <w:pStyle w:val="Geenafstand"/>
              <w:jc w:val="center"/>
            </w:pPr>
          </w:p>
        </w:tc>
        <w:tc>
          <w:tcPr>
            <w:tcW w:w="7257" w:type="dxa"/>
            <w:tcBorders>
              <w:bottom w:val="single" w:sz="4" w:space="0" w:color="FFFFFF" w:themeColor="background1"/>
            </w:tcBorders>
          </w:tcPr>
          <w:p w:rsidR="00D55403" w:rsidRPr="00D848CE" w:rsidRDefault="00D55403" w:rsidP="000B46FB">
            <w:pPr>
              <w:jc w:val="center"/>
            </w:pPr>
          </w:p>
        </w:tc>
      </w:tr>
      <w:tr w:rsidR="00F26FB0" w:rsidTr="00C87AB9">
        <w:tc>
          <w:tcPr>
            <w:tcW w:w="7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976B9" w:rsidRDefault="00C976B9" w:rsidP="00C976B9">
            <w:pPr>
              <w:shd w:val="clear" w:color="auto" w:fill="FFFFFF"/>
              <w:ind w:firstLine="708"/>
              <w:jc w:val="center"/>
              <w:rPr>
                <w:sz w:val="40"/>
                <w:szCs w:val="40"/>
              </w:rPr>
            </w:pPr>
          </w:p>
          <w:p w:rsidR="00C976B9" w:rsidRDefault="00C976B9" w:rsidP="00C976B9">
            <w:pPr>
              <w:shd w:val="clear" w:color="auto" w:fill="FFFFFF"/>
              <w:ind w:firstLine="708"/>
              <w:jc w:val="center"/>
              <w:rPr>
                <w:sz w:val="40"/>
                <w:szCs w:val="40"/>
              </w:rPr>
            </w:pPr>
          </w:p>
          <w:p w:rsidR="00C976B9" w:rsidRDefault="00C976B9" w:rsidP="00C976B9">
            <w:pPr>
              <w:shd w:val="clear" w:color="auto" w:fill="FFFFFF"/>
              <w:ind w:firstLine="708"/>
              <w:jc w:val="center"/>
              <w:rPr>
                <w:sz w:val="40"/>
                <w:szCs w:val="40"/>
              </w:rPr>
            </w:pPr>
          </w:p>
          <w:p w:rsidR="00F26FB0" w:rsidRDefault="00C976B9" w:rsidP="00C976B9">
            <w:pPr>
              <w:jc w:val="center"/>
            </w:pPr>
            <w:r w:rsidRPr="00F26FB0">
              <w:rPr>
                <w:sz w:val="40"/>
                <w:szCs w:val="40"/>
              </w:rPr>
              <w:t>Een verbrandingsreactie heeft zuurstof nodig om op te kunnen gaan. Hoe meer zuurstof, hoe heviger de reactie dus hoe helderder de vlam.</w:t>
            </w:r>
          </w:p>
        </w:tc>
        <w:tc>
          <w:tcPr>
            <w:tcW w:w="567" w:type="dxa"/>
            <w:tcBorders>
              <w:left w:val="single" w:sz="4" w:space="0" w:color="FFFFFF" w:themeColor="background1"/>
            </w:tcBorders>
          </w:tcPr>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Pr="00E76C49" w:rsidRDefault="00F26FB0" w:rsidP="00F40AB2">
            <w:pPr>
              <w:pStyle w:val="Geenafstand"/>
              <w:jc w:val="center"/>
              <w:rPr>
                <w:rFonts w:ascii="Harlow Solid Italic" w:hAnsi="Harlow Solid Italic"/>
                <w:sz w:val="36"/>
                <w:szCs w:val="40"/>
              </w:rPr>
            </w:pPr>
          </w:p>
        </w:tc>
        <w:tc>
          <w:tcPr>
            <w:tcW w:w="567" w:type="dxa"/>
            <w:tcBorders>
              <w:right w:val="single" w:sz="4" w:space="0" w:color="FFFFFF" w:themeColor="background1"/>
            </w:tcBorders>
          </w:tcPr>
          <w:p w:rsidR="00F26FB0" w:rsidRPr="00E76C49" w:rsidRDefault="00F26FB0" w:rsidP="00B82CDD">
            <w:pPr>
              <w:pStyle w:val="Geenafstand"/>
              <w:jc w:val="center"/>
              <w:rPr>
                <w:rFonts w:ascii="Harlow Solid Italic" w:hAnsi="Harlow Solid Italic"/>
                <w:sz w:val="36"/>
                <w:szCs w:val="40"/>
              </w:rPr>
            </w:pPr>
          </w:p>
        </w:tc>
        <w:tc>
          <w:tcPr>
            <w:tcW w:w="7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976B9" w:rsidRDefault="00C976B9" w:rsidP="00C976B9">
            <w:pPr>
              <w:shd w:val="clear" w:color="auto" w:fill="FFFFFF"/>
              <w:jc w:val="center"/>
              <w:rPr>
                <w:sz w:val="40"/>
                <w:szCs w:val="40"/>
              </w:rPr>
            </w:pPr>
          </w:p>
          <w:p w:rsidR="00F26FB0" w:rsidRDefault="00C976B9" w:rsidP="00C976B9">
            <w:pPr>
              <w:jc w:val="center"/>
            </w:pPr>
            <w:r w:rsidRPr="00F26FB0">
              <w:rPr>
                <w:sz w:val="40"/>
                <w:szCs w:val="40"/>
              </w:rPr>
              <w:t>De lucht die wij inademen bevat zuurstof maar de lucht die wij uitademen bevat bijna geen zuurstof meer maar vooral koolstofdioxide. Hierdoor brandt de kaars in gewone lucht langer. Een verbrandingsreactie heeft dus gewone lucht nodig, die zuurstof bevat om te kunnen branden.</w:t>
            </w:r>
          </w:p>
        </w:tc>
      </w:tr>
      <w:tr w:rsidR="00D55403" w:rsidTr="00C87AB9">
        <w:tc>
          <w:tcPr>
            <w:tcW w:w="7257" w:type="dxa"/>
            <w:tcBorders>
              <w:top w:val="single" w:sz="4" w:space="0" w:color="FFFFFF" w:themeColor="background1"/>
            </w:tcBorders>
          </w:tcPr>
          <w:p w:rsidR="00D55403" w:rsidRDefault="00D55403" w:rsidP="00F31A3D"/>
        </w:tc>
        <w:tc>
          <w:tcPr>
            <w:tcW w:w="567" w:type="dxa"/>
          </w:tcPr>
          <w:p w:rsidR="00D55403" w:rsidRDefault="00D55403" w:rsidP="00F40AB2"/>
        </w:tc>
        <w:tc>
          <w:tcPr>
            <w:tcW w:w="567" w:type="dxa"/>
          </w:tcPr>
          <w:p w:rsidR="00D55403" w:rsidRDefault="00D55403" w:rsidP="00F40AB2"/>
        </w:tc>
        <w:tc>
          <w:tcPr>
            <w:tcW w:w="7257" w:type="dxa"/>
            <w:tcBorders>
              <w:top w:val="single" w:sz="4" w:space="0" w:color="FFFFFF" w:themeColor="background1"/>
            </w:tcBorders>
          </w:tcPr>
          <w:p w:rsidR="00D55403" w:rsidRDefault="00D55403" w:rsidP="00F31A3D">
            <w:pPr>
              <w:jc w:val="center"/>
            </w:pPr>
          </w:p>
        </w:tc>
      </w:tr>
      <w:tr w:rsidR="00F26FB0" w:rsidTr="00C87AB9">
        <w:tc>
          <w:tcPr>
            <w:tcW w:w="7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976B9" w:rsidRDefault="00C976B9" w:rsidP="00C976B9">
            <w:pPr>
              <w:shd w:val="clear" w:color="auto" w:fill="FFFFFF"/>
              <w:ind w:firstLine="708"/>
              <w:jc w:val="center"/>
              <w:rPr>
                <w:sz w:val="40"/>
                <w:szCs w:val="40"/>
              </w:rPr>
            </w:pPr>
          </w:p>
          <w:p w:rsidR="00C976B9" w:rsidRDefault="00C976B9" w:rsidP="00C976B9">
            <w:pPr>
              <w:shd w:val="clear" w:color="auto" w:fill="FFFFFF"/>
              <w:ind w:firstLine="708"/>
              <w:jc w:val="center"/>
              <w:rPr>
                <w:sz w:val="40"/>
                <w:szCs w:val="40"/>
              </w:rPr>
            </w:pPr>
          </w:p>
          <w:p w:rsidR="00C976B9" w:rsidRDefault="00C976B9" w:rsidP="00C976B9">
            <w:pPr>
              <w:shd w:val="clear" w:color="auto" w:fill="FFFFFF"/>
              <w:ind w:firstLine="708"/>
              <w:jc w:val="center"/>
              <w:rPr>
                <w:sz w:val="40"/>
                <w:szCs w:val="40"/>
              </w:rPr>
            </w:pPr>
          </w:p>
          <w:p w:rsidR="005C3191" w:rsidRDefault="00C976B9" w:rsidP="00C976B9">
            <w:pPr>
              <w:jc w:val="center"/>
              <w:rPr>
                <w:sz w:val="40"/>
                <w:szCs w:val="40"/>
              </w:rPr>
            </w:pPr>
            <w:r w:rsidRPr="00F26FB0">
              <w:rPr>
                <w:sz w:val="40"/>
                <w:szCs w:val="40"/>
              </w:rPr>
              <w:t>Het gevormde CO</w:t>
            </w:r>
            <w:r w:rsidRPr="00F26FB0">
              <w:rPr>
                <w:sz w:val="40"/>
                <w:szCs w:val="40"/>
                <w:vertAlign w:val="subscript"/>
              </w:rPr>
              <w:t>2</w:t>
            </w:r>
            <w:r w:rsidRPr="00F26FB0">
              <w:rPr>
                <w:sz w:val="40"/>
                <w:szCs w:val="40"/>
              </w:rPr>
              <w:t xml:space="preserve"> gaat ervoor zorgen dat de vlam te weinig zuurstof krijgt. De vlam wordt gedoofd.</w:t>
            </w:r>
          </w:p>
          <w:p w:rsidR="005C3191" w:rsidRDefault="005C3191" w:rsidP="005C3191">
            <w:pPr>
              <w:jc w:val="center"/>
              <w:rPr>
                <w:sz w:val="40"/>
                <w:szCs w:val="40"/>
              </w:rPr>
            </w:pPr>
          </w:p>
          <w:p w:rsidR="00F26FB0" w:rsidRPr="00D848CE" w:rsidRDefault="00F26FB0" w:rsidP="0049093D">
            <w:pPr>
              <w:jc w:val="center"/>
              <w:rPr>
                <w:rFonts w:ascii="Harlow Solid Italic" w:hAnsi="Harlow Solid Italic"/>
                <w:sz w:val="36"/>
                <w:szCs w:val="36"/>
              </w:rPr>
            </w:pPr>
            <w:r>
              <w:rPr>
                <w:rFonts w:ascii="Harlow Solid Italic" w:hAnsi="Harlow Solid Italic"/>
                <w:sz w:val="36"/>
                <w:szCs w:val="36"/>
              </w:rPr>
              <w:t xml:space="preserve"> </w:t>
            </w:r>
          </w:p>
        </w:tc>
        <w:tc>
          <w:tcPr>
            <w:tcW w:w="567" w:type="dxa"/>
            <w:tcBorders>
              <w:left w:val="single" w:sz="4" w:space="0" w:color="FFFFFF" w:themeColor="background1"/>
            </w:tcBorders>
          </w:tcPr>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Pr="00E76C49" w:rsidRDefault="00F26FB0" w:rsidP="00F40AB2">
            <w:pPr>
              <w:pStyle w:val="Geenafstand"/>
              <w:jc w:val="center"/>
              <w:rPr>
                <w:rFonts w:ascii="Harlow Solid Italic" w:hAnsi="Harlow Solid Italic"/>
                <w:sz w:val="36"/>
                <w:szCs w:val="40"/>
              </w:rPr>
            </w:pPr>
          </w:p>
        </w:tc>
        <w:tc>
          <w:tcPr>
            <w:tcW w:w="567" w:type="dxa"/>
            <w:tcBorders>
              <w:right w:val="single" w:sz="4" w:space="0" w:color="FFFFFF" w:themeColor="background1"/>
            </w:tcBorders>
          </w:tcPr>
          <w:p w:rsidR="00F26FB0" w:rsidRPr="00E76C49" w:rsidRDefault="00F26FB0" w:rsidP="00F26FB0">
            <w:pPr>
              <w:pStyle w:val="Geenafstand"/>
              <w:jc w:val="center"/>
              <w:rPr>
                <w:rFonts w:ascii="Harlow Solid Italic" w:hAnsi="Harlow Solid Italic"/>
                <w:sz w:val="36"/>
                <w:szCs w:val="40"/>
              </w:rPr>
            </w:pPr>
          </w:p>
        </w:tc>
        <w:tc>
          <w:tcPr>
            <w:tcW w:w="7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976B9" w:rsidRDefault="00C976B9" w:rsidP="00C976B9">
            <w:pPr>
              <w:shd w:val="clear" w:color="auto" w:fill="FFFFFF"/>
              <w:jc w:val="center"/>
              <w:rPr>
                <w:sz w:val="40"/>
                <w:szCs w:val="40"/>
              </w:rPr>
            </w:pPr>
          </w:p>
          <w:p w:rsidR="00C976B9" w:rsidRDefault="00C976B9" w:rsidP="00C976B9">
            <w:pPr>
              <w:shd w:val="clear" w:color="auto" w:fill="FFFFFF"/>
              <w:jc w:val="center"/>
              <w:rPr>
                <w:rFonts w:ascii="Harlow Solid Italic" w:hAnsi="Harlow Solid Italic"/>
                <w:sz w:val="36"/>
                <w:szCs w:val="36"/>
                <w:lang w:val="nl-NL"/>
              </w:rPr>
            </w:pPr>
            <w:r w:rsidRPr="00F26FB0">
              <w:rPr>
                <w:sz w:val="40"/>
                <w:szCs w:val="40"/>
              </w:rPr>
              <w:t>De kaarsenvet dampen kunnen mee</w:t>
            </w:r>
            <w:r>
              <w:rPr>
                <w:sz w:val="40"/>
                <w:szCs w:val="40"/>
              </w:rPr>
              <w:t xml:space="preserve"> </w:t>
            </w:r>
            <w:r w:rsidRPr="00F26FB0">
              <w:rPr>
                <w:sz w:val="40"/>
                <w:szCs w:val="40"/>
              </w:rPr>
              <w:t>branden. Kaarsvet is de brandstof voor de verbranding. Deze dampen mengen zich met de zuurstof die vrijkomt uit het bleekpoeder die dient als een zuurstofbron. Voor een verbranding is zuurstof nodig en een brandstof, in dit geval de kaarsenvet dampen.</w:t>
            </w:r>
          </w:p>
          <w:p w:rsidR="00F26FB0" w:rsidRPr="004A0478" w:rsidRDefault="00F26FB0" w:rsidP="005C3191">
            <w:pPr>
              <w:jc w:val="center"/>
              <w:rPr>
                <w:rFonts w:ascii="Harlow Solid Italic" w:hAnsi="Harlow Solid Italic"/>
                <w:sz w:val="36"/>
                <w:szCs w:val="36"/>
                <w:lang w:val="nl-NL"/>
              </w:rPr>
            </w:pPr>
          </w:p>
        </w:tc>
      </w:tr>
      <w:tr w:rsidR="00D55403" w:rsidTr="00C87AB9">
        <w:tc>
          <w:tcPr>
            <w:tcW w:w="7257" w:type="dxa"/>
            <w:tcBorders>
              <w:top w:val="single" w:sz="4" w:space="0" w:color="FFFFFF" w:themeColor="background1"/>
            </w:tcBorders>
          </w:tcPr>
          <w:p w:rsidR="00D55403" w:rsidRDefault="00D55403" w:rsidP="00F31A3D"/>
        </w:tc>
        <w:tc>
          <w:tcPr>
            <w:tcW w:w="567" w:type="dxa"/>
          </w:tcPr>
          <w:p w:rsidR="00D55403" w:rsidRDefault="00D55403" w:rsidP="00F40AB2"/>
        </w:tc>
        <w:tc>
          <w:tcPr>
            <w:tcW w:w="567" w:type="dxa"/>
          </w:tcPr>
          <w:p w:rsidR="00D55403" w:rsidRDefault="00D55403" w:rsidP="00F40AB2"/>
        </w:tc>
        <w:tc>
          <w:tcPr>
            <w:tcW w:w="7257" w:type="dxa"/>
            <w:tcBorders>
              <w:top w:val="single" w:sz="4" w:space="0" w:color="FFFFFF" w:themeColor="background1"/>
            </w:tcBorders>
          </w:tcPr>
          <w:p w:rsidR="00D55403" w:rsidRDefault="00D55403" w:rsidP="00F31A3D">
            <w:pPr>
              <w:jc w:val="center"/>
            </w:pPr>
          </w:p>
        </w:tc>
      </w:tr>
      <w:tr w:rsidR="00D55403" w:rsidTr="00C87AB9">
        <w:tc>
          <w:tcPr>
            <w:tcW w:w="7257" w:type="dxa"/>
            <w:tcBorders>
              <w:bottom w:val="single" w:sz="4" w:space="0" w:color="FFFFFF" w:themeColor="background1"/>
            </w:tcBorders>
          </w:tcPr>
          <w:p w:rsidR="00D55403" w:rsidRDefault="00D55403" w:rsidP="00F31A3D"/>
        </w:tc>
        <w:tc>
          <w:tcPr>
            <w:tcW w:w="567" w:type="dxa"/>
          </w:tcPr>
          <w:p w:rsidR="00D55403" w:rsidRDefault="00D55403" w:rsidP="00F40AB2"/>
        </w:tc>
        <w:tc>
          <w:tcPr>
            <w:tcW w:w="567" w:type="dxa"/>
          </w:tcPr>
          <w:p w:rsidR="00D55403" w:rsidRDefault="00D55403" w:rsidP="00F40AB2"/>
        </w:tc>
        <w:tc>
          <w:tcPr>
            <w:tcW w:w="7257" w:type="dxa"/>
            <w:tcBorders>
              <w:bottom w:val="single" w:sz="4" w:space="0" w:color="FFFFFF" w:themeColor="background1"/>
            </w:tcBorders>
          </w:tcPr>
          <w:p w:rsidR="00D55403" w:rsidRDefault="00D55403" w:rsidP="00F31A3D">
            <w:pPr>
              <w:jc w:val="center"/>
            </w:pPr>
          </w:p>
        </w:tc>
      </w:tr>
      <w:tr w:rsidR="00F26FB0" w:rsidTr="00C87AB9">
        <w:tc>
          <w:tcPr>
            <w:tcW w:w="7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976B9" w:rsidRDefault="00C976B9" w:rsidP="00C976B9">
            <w:pPr>
              <w:shd w:val="clear" w:color="auto" w:fill="FFFFFF"/>
              <w:ind w:firstLine="708"/>
              <w:jc w:val="center"/>
              <w:rPr>
                <w:sz w:val="40"/>
                <w:szCs w:val="40"/>
              </w:rPr>
            </w:pPr>
          </w:p>
          <w:p w:rsidR="00C976B9" w:rsidRDefault="00C976B9" w:rsidP="00C976B9">
            <w:pPr>
              <w:shd w:val="clear" w:color="auto" w:fill="FFFFFF"/>
              <w:ind w:firstLine="708"/>
              <w:jc w:val="center"/>
              <w:rPr>
                <w:sz w:val="40"/>
                <w:szCs w:val="40"/>
              </w:rPr>
            </w:pPr>
          </w:p>
          <w:p w:rsidR="000A2C33" w:rsidRDefault="000A2C33" w:rsidP="000A2C33">
            <w:pPr>
              <w:shd w:val="clear" w:color="auto" w:fill="FFFFFF"/>
              <w:jc w:val="center"/>
              <w:rPr>
                <w:sz w:val="40"/>
                <w:szCs w:val="40"/>
              </w:rPr>
            </w:pPr>
            <w:r>
              <w:rPr>
                <w:sz w:val="40"/>
                <w:szCs w:val="40"/>
              </w:rPr>
              <w:t xml:space="preserve">Ja. </w:t>
            </w:r>
          </w:p>
          <w:p w:rsidR="000A2C33" w:rsidRDefault="000A2C33" w:rsidP="000A2C33">
            <w:pPr>
              <w:shd w:val="clear" w:color="auto" w:fill="FFFFFF"/>
              <w:jc w:val="center"/>
              <w:rPr>
                <w:sz w:val="40"/>
                <w:szCs w:val="40"/>
              </w:rPr>
            </w:pPr>
          </w:p>
          <w:p w:rsidR="00F26FB0" w:rsidRPr="000A2C33" w:rsidRDefault="00C976B9" w:rsidP="000A2C33">
            <w:pPr>
              <w:shd w:val="clear" w:color="auto" w:fill="FFFFFF"/>
              <w:jc w:val="center"/>
              <w:rPr>
                <w:sz w:val="40"/>
                <w:szCs w:val="40"/>
              </w:rPr>
            </w:pPr>
            <w:r w:rsidRPr="00F26FB0">
              <w:rPr>
                <w:sz w:val="40"/>
                <w:szCs w:val="40"/>
              </w:rPr>
              <w:t>De temperatuur heeft een invloed op het verbrandingsproces.</w:t>
            </w:r>
          </w:p>
        </w:tc>
        <w:tc>
          <w:tcPr>
            <w:tcW w:w="567" w:type="dxa"/>
            <w:tcBorders>
              <w:left w:val="single" w:sz="4" w:space="0" w:color="FFFFFF" w:themeColor="background1"/>
            </w:tcBorders>
          </w:tcPr>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Pr="00E76C49" w:rsidRDefault="00F26FB0" w:rsidP="00F40AB2">
            <w:pPr>
              <w:pStyle w:val="Geenafstand"/>
              <w:jc w:val="center"/>
              <w:rPr>
                <w:rFonts w:ascii="Harlow Solid Italic" w:hAnsi="Harlow Solid Italic"/>
                <w:sz w:val="36"/>
                <w:szCs w:val="40"/>
              </w:rPr>
            </w:pPr>
          </w:p>
        </w:tc>
        <w:tc>
          <w:tcPr>
            <w:tcW w:w="567" w:type="dxa"/>
            <w:tcBorders>
              <w:right w:val="single" w:sz="4" w:space="0" w:color="FFFFFF" w:themeColor="background1"/>
            </w:tcBorders>
          </w:tcPr>
          <w:p w:rsidR="00F26FB0" w:rsidRPr="004A0478" w:rsidRDefault="00F26FB0" w:rsidP="00F26FB0">
            <w:pPr>
              <w:pStyle w:val="Geenafstand"/>
              <w:jc w:val="center"/>
              <w:rPr>
                <w:rFonts w:ascii="Harlow Solid Italic" w:hAnsi="Harlow Solid Italic"/>
                <w:sz w:val="36"/>
                <w:szCs w:val="36"/>
              </w:rPr>
            </w:pPr>
          </w:p>
        </w:tc>
        <w:tc>
          <w:tcPr>
            <w:tcW w:w="7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A2C33" w:rsidRPr="000A2C33" w:rsidRDefault="000A2C33" w:rsidP="007A7B4B">
            <w:pPr>
              <w:shd w:val="clear" w:color="auto" w:fill="FFFFFF"/>
              <w:ind w:firstLine="708"/>
              <w:jc w:val="center"/>
              <w:rPr>
                <w:sz w:val="40"/>
                <w:szCs w:val="40"/>
              </w:rPr>
            </w:pPr>
          </w:p>
          <w:p w:rsidR="000A2C33" w:rsidRDefault="000A2C33" w:rsidP="007A7B4B">
            <w:pPr>
              <w:shd w:val="clear" w:color="auto" w:fill="FFFFFF"/>
              <w:jc w:val="center"/>
              <w:rPr>
                <w:sz w:val="40"/>
                <w:szCs w:val="40"/>
              </w:rPr>
            </w:pPr>
            <w:r w:rsidRPr="000A2C33">
              <w:rPr>
                <w:sz w:val="40"/>
                <w:szCs w:val="40"/>
              </w:rPr>
              <w:t>Ja.</w:t>
            </w:r>
          </w:p>
          <w:p w:rsidR="000A2C33" w:rsidRDefault="000A2C33" w:rsidP="007A7B4B">
            <w:pPr>
              <w:shd w:val="clear" w:color="auto" w:fill="FFFFFF"/>
              <w:ind w:firstLine="708"/>
              <w:jc w:val="center"/>
              <w:rPr>
                <w:sz w:val="40"/>
                <w:szCs w:val="40"/>
              </w:rPr>
            </w:pPr>
          </w:p>
          <w:p w:rsidR="000A2C33" w:rsidRDefault="000A2C33" w:rsidP="007A7B4B">
            <w:pPr>
              <w:shd w:val="clear" w:color="auto" w:fill="FFFFFF"/>
              <w:jc w:val="center"/>
              <w:rPr>
                <w:sz w:val="40"/>
                <w:szCs w:val="40"/>
              </w:rPr>
            </w:pPr>
            <w:r w:rsidRPr="000A2C33">
              <w:rPr>
                <w:sz w:val="40"/>
                <w:szCs w:val="40"/>
              </w:rPr>
              <w:t>De temperatuur heeft een invloed op de brandbaarheid.</w:t>
            </w:r>
          </w:p>
          <w:p w:rsidR="000A2C33" w:rsidRDefault="000A2C33" w:rsidP="007A7B4B">
            <w:pPr>
              <w:shd w:val="clear" w:color="auto" w:fill="FFFFFF"/>
              <w:ind w:firstLine="708"/>
              <w:jc w:val="center"/>
              <w:rPr>
                <w:sz w:val="40"/>
                <w:szCs w:val="40"/>
              </w:rPr>
            </w:pPr>
          </w:p>
          <w:p w:rsidR="00F26FB0" w:rsidRPr="004A0478" w:rsidRDefault="000A2C33" w:rsidP="007A7B4B">
            <w:pPr>
              <w:shd w:val="clear" w:color="auto" w:fill="FFFFFF"/>
              <w:jc w:val="center"/>
              <w:rPr>
                <w:rFonts w:ascii="Harlow Solid Italic" w:hAnsi="Harlow Solid Italic"/>
                <w:sz w:val="36"/>
                <w:szCs w:val="36"/>
              </w:rPr>
            </w:pPr>
            <w:r w:rsidRPr="000A2C33">
              <w:rPr>
                <w:sz w:val="40"/>
                <w:szCs w:val="40"/>
              </w:rPr>
              <w:t>Hoe hoger de temperatuur hoe groter, sneller de stof brand.</w:t>
            </w:r>
          </w:p>
        </w:tc>
      </w:tr>
      <w:tr w:rsidR="00D55403" w:rsidTr="00C87AB9">
        <w:tc>
          <w:tcPr>
            <w:tcW w:w="7257" w:type="dxa"/>
            <w:tcBorders>
              <w:top w:val="single" w:sz="4" w:space="0" w:color="FFFFFF" w:themeColor="background1"/>
            </w:tcBorders>
          </w:tcPr>
          <w:p w:rsidR="00D55403" w:rsidRDefault="00D55403" w:rsidP="00F31A3D"/>
        </w:tc>
        <w:tc>
          <w:tcPr>
            <w:tcW w:w="567" w:type="dxa"/>
          </w:tcPr>
          <w:p w:rsidR="00D55403" w:rsidRDefault="00D55403" w:rsidP="00F40AB2"/>
        </w:tc>
        <w:tc>
          <w:tcPr>
            <w:tcW w:w="567" w:type="dxa"/>
          </w:tcPr>
          <w:p w:rsidR="00D55403" w:rsidRDefault="00D55403" w:rsidP="00F40AB2"/>
        </w:tc>
        <w:tc>
          <w:tcPr>
            <w:tcW w:w="7257" w:type="dxa"/>
            <w:tcBorders>
              <w:top w:val="single" w:sz="4" w:space="0" w:color="FFFFFF" w:themeColor="background1"/>
            </w:tcBorders>
          </w:tcPr>
          <w:p w:rsidR="00D55403" w:rsidRDefault="00D55403" w:rsidP="00F31A3D">
            <w:pPr>
              <w:jc w:val="center"/>
            </w:pPr>
          </w:p>
        </w:tc>
      </w:tr>
      <w:tr w:rsidR="00F26FB0" w:rsidTr="00C87AB9">
        <w:tc>
          <w:tcPr>
            <w:tcW w:w="7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A2C33" w:rsidRPr="007A7B4B" w:rsidRDefault="000A2C33" w:rsidP="005C3191">
            <w:pPr>
              <w:shd w:val="clear" w:color="auto" w:fill="FFFFFF"/>
              <w:jc w:val="center"/>
              <w:rPr>
                <w:sz w:val="40"/>
                <w:szCs w:val="40"/>
              </w:rPr>
            </w:pPr>
          </w:p>
          <w:p w:rsidR="000A2C33" w:rsidRDefault="000A2C33" w:rsidP="005C3191">
            <w:pPr>
              <w:shd w:val="clear" w:color="auto" w:fill="FFFFFF"/>
              <w:jc w:val="center"/>
              <w:rPr>
                <w:sz w:val="40"/>
                <w:szCs w:val="40"/>
              </w:rPr>
            </w:pPr>
          </w:p>
          <w:p w:rsidR="00DB39E5" w:rsidRPr="007A7B4B" w:rsidRDefault="00DB39E5" w:rsidP="005C3191">
            <w:pPr>
              <w:shd w:val="clear" w:color="auto" w:fill="FFFFFF"/>
              <w:jc w:val="center"/>
              <w:rPr>
                <w:sz w:val="40"/>
                <w:szCs w:val="40"/>
              </w:rPr>
            </w:pPr>
          </w:p>
          <w:p w:rsidR="000A2C33" w:rsidRPr="007A7B4B" w:rsidRDefault="000A2C33" w:rsidP="005C3191">
            <w:pPr>
              <w:shd w:val="clear" w:color="auto" w:fill="FFFFFF"/>
              <w:jc w:val="center"/>
              <w:rPr>
                <w:sz w:val="40"/>
                <w:szCs w:val="40"/>
              </w:rPr>
            </w:pPr>
            <w:r w:rsidRPr="007A7B4B">
              <w:rPr>
                <w:sz w:val="40"/>
                <w:szCs w:val="40"/>
              </w:rPr>
              <w:t xml:space="preserve">Ja. </w:t>
            </w:r>
          </w:p>
          <w:p w:rsidR="000A2C33" w:rsidRPr="007A7B4B" w:rsidRDefault="000A2C33" w:rsidP="005C3191">
            <w:pPr>
              <w:shd w:val="clear" w:color="auto" w:fill="FFFFFF"/>
              <w:jc w:val="center"/>
              <w:rPr>
                <w:sz w:val="40"/>
                <w:szCs w:val="40"/>
              </w:rPr>
            </w:pPr>
          </w:p>
          <w:p w:rsidR="00F26FB0" w:rsidRPr="000A2C33" w:rsidRDefault="000A2C33" w:rsidP="005C3191">
            <w:pPr>
              <w:shd w:val="clear" w:color="auto" w:fill="FFFFFF"/>
              <w:jc w:val="center"/>
              <w:rPr>
                <w:sz w:val="36"/>
                <w:szCs w:val="36"/>
              </w:rPr>
            </w:pPr>
            <w:r w:rsidRPr="007A7B4B">
              <w:rPr>
                <w:sz w:val="40"/>
                <w:szCs w:val="40"/>
              </w:rPr>
              <w:t>Hoe vochtiger de stof, hoe minder snel de stof brandt.</w:t>
            </w:r>
          </w:p>
        </w:tc>
        <w:tc>
          <w:tcPr>
            <w:tcW w:w="567" w:type="dxa"/>
            <w:tcBorders>
              <w:left w:val="single" w:sz="4" w:space="0" w:color="FFFFFF" w:themeColor="background1"/>
            </w:tcBorders>
          </w:tcPr>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Pr="00E76C49" w:rsidRDefault="00F26FB0" w:rsidP="00F40AB2">
            <w:pPr>
              <w:pStyle w:val="Geenafstand"/>
              <w:jc w:val="center"/>
              <w:rPr>
                <w:rFonts w:ascii="Harlow Solid Italic" w:hAnsi="Harlow Solid Italic"/>
                <w:sz w:val="36"/>
                <w:szCs w:val="40"/>
              </w:rPr>
            </w:pPr>
          </w:p>
        </w:tc>
        <w:tc>
          <w:tcPr>
            <w:tcW w:w="567" w:type="dxa"/>
            <w:tcBorders>
              <w:right w:val="single" w:sz="4" w:space="0" w:color="FFFFFF" w:themeColor="background1"/>
            </w:tcBorders>
          </w:tcPr>
          <w:p w:rsidR="00F26FB0" w:rsidRPr="00E76C49" w:rsidRDefault="00F26FB0" w:rsidP="00F26FB0">
            <w:pPr>
              <w:pStyle w:val="Geenafstand"/>
              <w:rPr>
                <w:rFonts w:ascii="Harlow Solid Italic" w:hAnsi="Harlow Solid Italic"/>
                <w:sz w:val="36"/>
                <w:szCs w:val="40"/>
              </w:rPr>
            </w:pPr>
          </w:p>
        </w:tc>
        <w:tc>
          <w:tcPr>
            <w:tcW w:w="7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A2C33" w:rsidRDefault="000A2C33" w:rsidP="007A7B4B">
            <w:pPr>
              <w:shd w:val="clear" w:color="auto" w:fill="FFFFFF"/>
              <w:ind w:firstLine="708"/>
              <w:jc w:val="center"/>
            </w:pPr>
          </w:p>
          <w:p w:rsidR="007A7B4B" w:rsidRDefault="007A7B4B" w:rsidP="007A7B4B">
            <w:pPr>
              <w:shd w:val="clear" w:color="auto" w:fill="FFFFFF"/>
              <w:jc w:val="center"/>
              <w:rPr>
                <w:sz w:val="40"/>
                <w:szCs w:val="40"/>
                <w:lang w:val="nl-NL"/>
              </w:rPr>
            </w:pPr>
          </w:p>
          <w:p w:rsidR="007A7B4B" w:rsidRDefault="007A7B4B" w:rsidP="007A7B4B">
            <w:pPr>
              <w:shd w:val="clear" w:color="auto" w:fill="FFFFFF"/>
              <w:jc w:val="center"/>
              <w:rPr>
                <w:sz w:val="40"/>
                <w:szCs w:val="40"/>
                <w:lang w:val="nl-NL"/>
              </w:rPr>
            </w:pPr>
          </w:p>
          <w:p w:rsidR="000A2C33" w:rsidRDefault="000A2C33" w:rsidP="007A7B4B">
            <w:pPr>
              <w:shd w:val="clear" w:color="auto" w:fill="FFFFFF"/>
              <w:jc w:val="center"/>
              <w:rPr>
                <w:sz w:val="40"/>
                <w:szCs w:val="40"/>
                <w:lang w:val="nl-NL"/>
              </w:rPr>
            </w:pPr>
            <w:r w:rsidRPr="000A2C33">
              <w:rPr>
                <w:sz w:val="40"/>
                <w:szCs w:val="40"/>
                <w:lang w:val="nl-NL"/>
              </w:rPr>
              <w:t>Ja.</w:t>
            </w:r>
          </w:p>
          <w:p w:rsidR="000A2C33" w:rsidRDefault="000A2C33" w:rsidP="007A7B4B">
            <w:pPr>
              <w:shd w:val="clear" w:color="auto" w:fill="FFFFFF"/>
              <w:jc w:val="center"/>
              <w:rPr>
                <w:sz w:val="40"/>
                <w:szCs w:val="40"/>
                <w:lang w:val="nl-NL"/>
              </w:rPr>
            </w:pPr>
          </w:p>
          <w:p w:rsidR="000A2C33" w:rsidRPr="000A2C33" w:rsidRDefault="000A2C33" w:rsidP="007A7B4B">
            <w:pPr>
              <w:shd w:val="clear" w:color="auto" w:fill="FFFFFF"/>
              <w:jc w:val="center"/>
              <w:rPr>
                <w:sz w:val="40"/>
                <w:szCs w:val="40"/>
              </w:rPr>
            </w:pPr>
            <w:r w:rsidRPr="000A2C33">
              <w:rPr>
                <w:sz w:val="40"/>
                <w:szCs w:val="40"/>
                <w:lang w:val="nl-NL"/>
              </w:rPr>
              <w:t>Een batterij kan als ontstekingsbron gebruikt worden bij een verbrandingsreactie.</w:t>
            </w:r>
          </w:p>
          <w:p w:rsidR="00F26FB0" w:rsidRDefault="00F26FB0" w:rsidP="007A7B4B">
            <w:pPr>
              <w:shd w:val="clear" w:color="auto" w:fill="FFFFFF"/>
              <w:ind w:firstLine="708"/>
              <w:jc w:val="center"/>
            </w:pPr>
          </w:p>
        </w:tc>
      </w:tr>
      <w:tr w:rsidR="00D55403" w:rsidTr="00C87AB9">
        <w:tc>
          <w:tcPr>
            <w:tcW w:w="7257" w:type="dxa"/>
            <w:tcBorders>
              <w:top w:val="single" w:sz="4" w:space="0" w:color="FFFFFF" w:themeColor="background1"/>
            </w:tcBorders>
          </w:tcPr>
          <w:p w:rsidR="00D55403" w:rsidRDefault="00D55403" w:rsidP="00F31A3D"/>
        </w:tc>
        <w:tc>
          <w:tcPr>
            <w:tcW w:w="567" w:type="dxa"/>
          </w:tcPr>
          <w:p w:rsidR="00D55403" w:rsidRPr="00D848CE" w:rsidRDefault="00D55403" w:rsidP="00F40AB2">
            <w:pPr>
              <w:pStyle w:val="Geenafstand"/>
              <w:jc w:val="center"/>
            </w:pPr>
          </w:p>
        </w:tc>
        <w:tc>
          <w:tcPr>
            <w:tcW w:w="567" w:type="dxa"/>
          </w:tcPr>
          <w:p w:rsidR="00D55403" w:rsidRPr="00D848CE" w:rsidRDefault="00D55403" w:rsidP="00F40AB2">
            <w:pPr>
              <w:pStyle w:val="Geenafstand"/>
              <w:jc w:val="center"/>
            </w:pPr>
          </w:p>
        </w:tc>
        <w:tc>
          <w:tcPr>
            <w:tcW w:w="7257" w:type="dxa"/>
            <w:tcBorders>
              <w:top w:val="single" w:sz="4" w:space="0" w:color="FFFFFF" w:themeColor="background1"/>
            </w:tcBorders>
          </w:tcPr>
          <w:p w:rsidR="00D55403" w:rsidRDefault="00D55403" w:rsidP="00F31A3D">
            <w:pPr>
              <w:jc w:val="center"/>
            </w:pPr>
          </w:p>
        </w:tc>
      </w:tr>
      <w:tr w:rsidR="00D55403" w:rsidTr="00C87AB9">
        <w:tc>
          <w:tcPr>
            <w:tcW w:w="7257" w:type="dxa"/>
            <w:tcBorders>
              <w:bottom w:val="single" w:sz="4" w:space="0" w:color="FFFFFF" w:themeColor="background1"/>
            </w:tcBorders>
          </w:tcPr>
          <w:p w:rsidR="00D55403" w:rsidRDefault="00D55403" w:rsidP="00F31A3D"/>
        </w:tc>
        <w:tc>
          <w:tcPr>
            <w:tcW w:w="567" w:type="dxa"/>
          </w:tcPr>
          <w:p w:rsidR="00D55403" w:rsidRPr="00D848CE" w:rsidRDefault="00D55403" w:rsidP="00F40AB2">
            <w:pPr>
              <w:pStyle w:val="Geenafstand"/>
              <w:jc w:val="center"/>
            </w:pPr>
          </w:p>
        </w:tc>
        <w:tc>
          <w:tcPr>
            <w:tcW w:w="567" w:type="dxa"/>
          </w:tcPr>
          <w:p w:rsidR="00D55403" w:rsidRPr="00D848CE" w:rsidRDefault="00D55403" w:rsidP="00F40AB2">
            <w:pPr>
              <w:pStyle w:val="Geenafstand"/>
              <w:jc w:val="center"/>
            </w:pPr>
          </w:p>
        </w:tc>
        <w:tc>
          <w:tcPr>
            <w:tcW w:w="7257" w:type="dxa"/>
            <w:tcBorders>
              <w:bottom w:val="single" w:sz="4" w:space="0" w:color="FFFFFF" w:themeColor="background1"/>
            </w:tcBorders>
          </w:tcPr>
          <w:p w:rsidR="00D55403" w:rsidRDefault="00D55403" w:rsidP="00F31A3D">
            <w:pPr>
              <w:jc w:val="center"/>
            </w:pPr>
          </w:p>
        </w:tc>
      </w:tr>
      <w:tr w:rsidR="00F26FB0" w:rsidTr="00C87AB9">
        <w:tc>
          <w:tcPr>
            <w:tcW w:w="7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B39E5" w:rsidRPr="00DB39E5" w:rsidRDefault="00DB39E5" w:rsidP="00DB39E5">
            <w:pPr>
              <w:shd w:val="clear" w:color="auto" w:fill="FFFFFF"/>
              <w:jc w:val="center"/>
              <w:rPr>
                <w:sz w:val="40"/>
                <w:szCs w:val="40"/>
              </w:rPr>
            </w:pPr>
          </w:p>
          <w:p w:rsidR="00DB39E5" w:rsidRDefault="00DB39E5" w:rsidP="00DB39E5">
            <w:pPr>
              <w:shd w:val="clear" w:color="auto" w:fill="FFFFFF"/>
              <w:jc w:val="center"/>
              <w:rPr>
                <w:sz w:val="40"/>
                <w:szCs w:val="40"/>
                <w:lang w:val="nl-NL"/>
              </w:rPr>
            </w:pPr>
          </w:p>
          <w:p w:rsidR="00DB39E5" w:rsidRPr="00DB39E5" w:rsidRDefault="00DB39E5" w:rsidP="00DB39E5">
            <w:pPr>
              <w:shd w:val="clear" w:color="auto" w:fill="FFFFFF"/>
              <w:jc w:val="center"/>
              <w:rPr>
                <w:sz w:val="40"/>
                <w:szCs w:val="40"/>
                <w:lang w:val="nl-NL"/>
              </w:rPr>
            </w:pPr>
            <w:r w:rsidRPr="00DB39E5">
              <w:rPr>
                <w:sz w:val="40"/>
                <w:szCs w:val="40"/>
                <w:lang w:val="nl-NL"/>
              </w:rPr>
              <w:t>Ja.</w:t>
            </w:r>
          </w:p>
          <w:p w:rsidR="00DB39E5" w:rsidRPr="00DB39E5" w:rsidRDefault="00DB39E5" w:rsidP="00DB39E5">
            <w:pPr>
              <w:shd w:val="clear" w:color="auto" w:fill="FFFFFF"/>
              <w:jc w:val="center"/>
              <w:rPr>
                <w:sz w:val="40"/>
                <w:szCs w:val="40"/>
                <w:lang w:val="nl-NL"/>
              </w:rPr>
            </w:pPr>
          </w:p>
          <w:p w:rsidR="00F26FB0" w:rsidRPr="00DB39E5" w:rsidRDefault="00DB39E5" w:rsidP="00DB39E5">
            <w:pPr>
              <w:shd w:val="clear" w:color="auto" w:fill="FFFFFF"/>
              <w:jc w:val="center"/>
              <w:rPr>
                <w:sz w:val="40"/>
                <w:szCs w:val="40"/>
              </w:rPr>
            </w:pPr>
            <w:r w:rsidRPr="00DB39E5">
              <w:rPr>
                <w:sz w:val="40"/>
                <w:szCs w:val="40"/>
                <w:lang w:val="nl-NL"/>
              </w:rPr>
              <w:t>Gassen van brandbare stoffen zijn ook brandbaar.</w:t>
            </w:r>
          </w:p>
        </w:tc>
        <w:tc>
          <w:tcPr>
            <w:tcW w:w="567" w:type="dxa"/>
            <w:tcBorders>
              <w:left w:val="single" w:sz="4" w:space="0" w:color="FFFFFF" w:themeColor="background1"/>
            </w:tcBorders>
          </w:tcPr>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Default="00F26FB0" w:rsidP="00F40AB2">
            <w:pPr>
              <w:pStyle w:val="Geenafstand"/>
              <w:jc w:val="center"/>
              <w:rPr>
                <w:rFonts w:ascii="Harlow Solid Italic" w:hAnsi="Harlow Solid Italic"/>
                <w:sz w:val="36"/>
                <w:szCs w:val="40"/>
              </w:rPr>
            </w:pPr>
          </w:p>
          <w:p w:rsidR="00F26FB0" w:rsidRPr="00E76C49" w:rsidRDefault="00F26FB0" w:rsidP="00F40AB2">
            <w:pPr>
              <w:pStyle w:val="Geenafstand"/>
              <w:jc w:val="center"/>
              <w:rPr>
                <w:rFonts w:ascii="Harlow Solid Italic" w:hAnsi="Harlow Solid Italic"/>
                <w:sz w:val="36"/>
                <w:szCs w:val="40"/>
              </w:rPr>
            </w:pPr>
          </w:p>
        </w:tc>
        <w:tc>
          <w:tcPr>
            <w:tcW w:w="567" w:type="dxa"/>
            <w:tcBorders>
              <w:right w:val="single" w:sz="4" w:space="0" w:color="FFFFFF" w:themeColor="background1"/>
            </w:tcBorders>
          </w:tcPr>
          <w:p w:rsidR="00F26FB0" w:rsidRPr="00F26FB0" w:rsidRDefault="00F26FB0" w:rsidP="00F26FB0">
            <w:pPr>
              <w:pStyle w:val="Geenafstand"/>
              <w:jc w:val="center"/>
              <w:rPr>
                <w:rFonts w:ascii="Harlow Solid Italic" w:hAnsi="Harlow Solid Italic"/>
                <w:sz w:val="36"/>
                <w:szCs w:val="36"/>
              </w:rPr>
            </w:pPr>
          </w:p>
        </w:tc>
        <w:tc>
          <w:tcPr>
            <w:tcW w:w="7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B39E5" w:rsidRDefault="00DB39E5" w:rsidP="00DB39E5">
            <w:pPr>
              <w:shd w:val="clear" w:color="auto" w:fill="FFFFFF"/>
              <w:jc w:val="center"/>
              <w:rPr>
                <w:sz w:val="40"/>
                <w:szCs w:val="40"/>
                <w:lang w:val="nl-NL"/>
              </w:rPr>
            </w:pPr>
            <w:bookmarkStart w:id="0" w:name="_GoBack"/>
            <w:bookmarkEnd w:id="0"/>
            <w:r w:rsidRPr="00DB39E5">
              <w:rPr>
                <w:sz w:val="40"/>
                <w:szCs w:val="40"/>
                <w:lang w:val="nl-NL"/>
              </w:rPr>
              <w:t>Ja.</w:t>
            </w:r>
          </w:p>
          <w:p w:rsidR="00DB39E5" w:rsidRDefault="00DB39E5" w:rsidP="00DB39E5">
            <w:pPr>
              <w:shd w:val="clear" w:color="auto" w:fill="FFFFFF"/>
              <w:jc w:val="center"/>
              <w:rPr>
                <w:sz w:val="40"/>
                <w:szCs w:val="40"/>
                <w:lang w:val="nl-NL"/>
              </w:rPr>
            </w:pPr>
          </w:p>
          <w:p w:rsidR="00DB39E5" w:rsidRDefault="00DB39E5" w:rsidP="00DB39E5">
            <w:pPr>
              <w:shd w:val="clear" w:color="auto" w:fill="FFFFFF"/>
              <w:jc w:val="center"/>
              <w:rPr>
                <w:sz w:val="40"/>
                <w:szCs w:val="40"/>
                <w:lang w:val="nl-NL"/>
              </w:rPr>
            </w:pPr>
            <w:r w:rsidRPr="00DB39E5">
              <w:rPr>
                <w:sz w:val="40"/>
                <w:szCs w:val="40"/>
                <w:lang w:val="nl-NL"/>
              </w:rPr>
              <w:t>De mengverhouding van de brandbare stof met de zuurstof heeft een invloed op de brandbaarheid.</w:t>
            </w:r>
          </w:p>
          <w:p w:rsidR="00DB39E5" w:rsidRPr="00DB39E5" w:rsidRDefault="00DB39E5" w:rsidP="00DB39E5">
            <w:pPr>
              <w:shd w:val="clear" w:color="auto" w:fill="FFFFFF"/>
              <w:jc w:val="center"/>
              <w:rPr>
                <w:sz w:val="40"/>
                <w:szCs w:val="40"/>
              </w:rPr>
            </w:pPr>
          </w:p>
          <w:p w:rsidR="00F26FB0" w:rsidRPr="00F26FB0" w:rsidRDefault="00DB39E5" w:rsidP="00DB39E5">
            <w:pPr>
              <w:shd w:val="clear" w:color="auto" w:fill="FFFFFF"/>
              <w:jc w:val="center"/>
              <w:rPr>
                <w:rFonts w:ascii="Harlow Solid Italic" w:hAnsi="Harlow Solid Italic"/>
                <w:sz w:val="36"/>
                <w:szCs w:val="36"/>
              </w:rPr>
            </w:pPr>
            <w:r w:rsidRPr="00DB39E5">
              <w:rPr>
                <w:sz w:val="40"/>
                <w:szCs w:val="40"/>
                <w:lang w:val="nl-NL"/>
              </w:rPr>
              <w:t>Hoe meer zuurstof, dus hoe beter de mengverhouding, hoe groter de brandbaarheid.</w:t>
            </w:r>
          </w:p>
        </w:tc>
      </w:tr>
    </w:tbl>
    <w:p w:rsidR="003709F0" w:rsidRDefault="003709F0"/>
    <w:sectPr w:rsidR="003709F0" w:rsidSect="00682D92">
      <w:pgSz w:w="16838" w:h="11906" w:orient="landscape"/>
      <w:pgMar w:top="426" w:right="1417"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7997"/>
    <w:multiLevelType w:val="hybridMultilevel"/>
    <w:tmpl w:val="7F627B5E"/>
    <w:lvl w:ilvl="0" w:tplc="82929754">
      <w:start w:val="3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D92"/>
    <w:rsid w:val="00015E19"/>
    <w:rsid w:val="00097810"/>
    <w:rsid w:val="000A2C33"/>
    <w:rsid w:val="000B46FB"/>
    <w:rsid w:val="000C3BCE"/>
    <w:rsid w:val="0015568D"/>
    <w:rsid w:val="001B737C"/>
    <w:rsid w:val="00262108"/>
    <w:rsid w:val="003709F0"/>
    <w:rsid w:val="0049093D"/>
    <w:rsid w:val="004A0478"/>
    <w:rsid w:val="0056165C"/>
    <w:rsid w:val="005C3191"/>
    <w:rsid w:val="005F5BAC"/>
    <w:rsid w:val="005F6BD5"/>
    <w:rsid w:val="00682D92"/>
    <w:rsid w:val="006A6453"/>
    <w:rsid w:val="00721C73"/>
    <w:rsid w:val="007A7B4B"/>
    <w:rsid w:val="0084096C"/>
    <w:rsid w:val="008849E9"/>
    <w:rsid w:val="008A2B3E"/>
    <w:rsid w:val="00907DE9"/>
    <w:rsid w:val="00A45A30"/>
    <w:rsid w:val="00A6147C"/>
    <w:rsid w:val="00B17B7B"/>
    <w:rsid w:val="00BD3DF6"/>
    <w:rsid w:val="00C16F50"/>
    <w:rsid w:val="00C87AB9"/>
    <w:rsid w:val="00C976B9"/>
    <w:rsid w:val="00D15914"/>
    <w:rsid w:val="00D5168B"/>
    <w:rsid w:val="00D55403"/>
    <w:rsid w:val="00D848CE"/>
    <w:rsid w:val="00DB39E5"/>
    <w:rsid w:val="00DC589A"/>
    <w:rsid w:val="00E00549"/>
    <w:rsid w:val="00E14381"/>
    <w:rsid w:val="00F26FB0"/>
    <w:rsid w:val="00F31A3D"/>
    <w:rsid w:val="00FD1E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B46F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82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0B46FB"/>
    <w:pPr>
      <w:spacing w:after="0" w:line="240" w:lineRule="auto"/>
    </w:pPr>
  </w:style>
  <w:style w:type="paragraph" w:styleId="Lijstalinea">
    <w:name w:val="List Paragraph"/>
    <w:basedOn w:val="Standaard"/>
    <w:uiPriority w:val="34"/>
    <w:qFormat/>
    <w:rsid w:val="00F31A3D"/>
    <w:pPr>
      <w:ind w:left="720"/>
      <w:contextualSpacing/>
    </w:pPr>
  </w:style>
  <w:style w:type="paragraph" w:styleId="Ballontekst">
    <w:name w:val="Balloon Text"/>
    <w:basedOn w:val="Standaard"/>
    <w:link w:val="BallontekstChar"/>
    <w:uiPriority w:val="99"/>
    <w:semiHidden/>
    <w:unhideWhenUsed/>
    <w:rsid w:val="000C3BC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C3BCE"/>
    <w:rPr>
      <w:rFonts w:ascii="Tahoma" w:hAnsi="Tahoma" w:cs="Tahoma"/>
      <w:sz w:val="16"/>
      <w:szCs w:val="16"/>
    </w:rPr>
  </w:style>
  <w:style w:type="paragraph" w:customStyle="1" w:styleId="HoofdtekstA">
    <w:name w:val="Hoofdtekst A"/>
    <w:rsid w:val="004A0478"/>
    <w:pPr>
      <w:pBdr>
        <w:top w:val="nil"/>
        <w:left w:val="nil"/>
        <w:bottom w:val="nil"/>
        <w:right w:val="nil"/>
        <w:between w:val="nil"/>
        <w:bar w:val="nil"/>
      </w:pBdr>
      <w:spacing w:before="160" w:after="0" w:line="288" w:lineRule="auto"/>
    </w:pPr>
    <w:rPr>
      <w:rFonts w:ascii="Helvetica" w:eastAsia="Helvetica" w:hAnsi="Helvetica" w:cs="Helvetica"/>
      <w:color w:val="000000"/>
      <w:sz w:val="24"/>
      <w:szCs w:val="24"/>
      <w:u w:color="000000"/>
      <w:bdr w:val="nil"/>
      <w:lang w:val="nl-NL"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B46F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82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0B46FB"/>
    <w:pPr>
      <w:spacing w:after="0" w:line="240" w:lineRule="auto"/>
    </w:pPr>
  </w:style>
  <w:style w:type="paragraph" w:styleId="Lijstalinea">
    <w:name w:val="List Paragraph"/>
    <w:basedOn w:val="Standaard"/>
    <w:uiPriority w:val="34"/>
    <w:qFormat/>
    <w:rsid w:val="00F31A3D"/>
    <w:pPr>
      <w:ind w:left="720"/>
      <w:contextualSpacing/>
    </w:pPr>
  </w:style>
  <w:style w:type="paragraph" w:styleId="Ballontekst">
    <w:name w:val="Balloon Text"/>
    <w:basedOn w:val="Standaard"/>
    <w:link w:val="BallontekstChar"/>
    <w:uiPriority w:val="99"/>
    <w:semiHidden/>
    <w:unhideWhenUsed/>
    <w:rsid w:val="000C3BC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C3BCE"/>
    <w:rPr>
      <w:rFonts w:ascii="Tahoma" w:hAnsi="Tahoma" w:cs="Tahoma"/>
      <w:sz w:val="16"/>
      <w:szCs w:val="16"/>
    </w:rPr>
  </w:style>
  <w:style w:type="paragraph" w:customStyle="1" w:styleId="HoofdtekstA">
    <w:name w:val="Hoofdtekst A"/>
    <w:rsid w:val="004A0478"/>
    <w:pPr>
      <w:pBdr>
        <w:top w:val="nil"/>
        <w:left w:val="nil"/>
        <w:bottom w:val="nil"/>
        <w:right w:val="nil"/>
        <w:between w:val="nil"/>
        <w:bar w:val="nil"/>
      </w:pBdr>
      <w:spacing w:before="160" w:after="0" w:line="288" w:lineRule="auto"/>
    </w:pPr>
    <w:rPr>
      <w:rFonts w:ascii="Helvetica" w:eastAsia="Helvetica" w:hAnsi="Helvetica" w:cs="Helvetica"/>
      <w:color w:val="000000"/>
      <w:sz w:val="24"/>
      <w:szCs w:val="24"/>
      <w:u w:color="000000"/>
      <w:bdr w:val="nil"/>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4</Pages>
  <Words>300</Words>
  <Characters>1655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dc:creator>
  <cp:lastModifiedBy>Justine</cp:lastModifiedBy>
  <cp:revision>30</cp:revision>
  <dcterms:created xsi:type="dcterms:W3CDTF">2015-03-08T12:21:00Z</dcterms:created>
  <dcterms:modified xsi:type="dcterms:W3CDTF">2015-03-08T21:17:00Z</dcterms:modified>
</cp:coreProperties>
</file>