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1134"/>
        <w:gridCol w:w="7257"/>
      </w:tblGrid>
      <w:tr w:rsidR="0015568D" w:rsidTr="003E3743"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 w:rsidRPr="008A2B3E">
              <w:rPr>
                <w:sz w:val="40"/>
              </w:rPr>
              <w:t>Explosief</w:t>
            </w:r>
            <w:r>
              <w:rPr>
                <w:sz w:val="40"/>
              </w:rPr>
              <w:t>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Gassen onder druk.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Ontvlambaar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Oxiderend.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Gevaarlijk voor het aquatisch milieu.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Giftig.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Corrosief.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Lange termijn gezondheids gevaarlijk.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  <w:r>
              <w:rPr>
                <w:sz w:val="40"/>
              </w:rPr>
              <w:t>Irriterend, sensibiliserend, schadelijk.</w:t>
            </w: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Pr="008A2B3E" w:rsidRDefault="0015568D" w:rsidP="00644C50">
            <w:pPr>
              <w:jc w:val="center"/>
              <w:rPr>
                <w:sz w:val="40"/>
              </w:rPr>
            </w:pPr>
          </w:p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  <w:rPr>
                <w:sz w:val="40"/>
                <w:szCs w:val="40"/>
              </w:rPr>
            </w:pPr>
          </w:p>
          <w:p w:rsidR="00644C50" w:rsidRPr="00A0570B" w:rsidRDefault="00644C50" w:rsidP="00644C50">
            <w:pPr>
              <w:jc w:val="center"/>
              <w:rPr>
                <w:sz w:val="40"/>
                <w:szCs w:val="40"/>
              </w:rPr>
            </w:pPr>
          </w:p>
          <w:p w:rsidR="00A0570B" w:rsidRPr="00A0570B" w:rsidRDefault="00A0570B" w:rsidP="00644C50">
            <w:pPr>
              <w:jc w:val="center"/>
              <w:rPr>
                <w:sz w:val="40"/>
                <w:szCs w:val="40"/>
              </w:rPr>
            </w:pPr>
            <w:r w:rsidRPr="00A0570B">
              <w:rPr>
                <w:sz w:val="40"/>
                <w:szCs w:val="40"/>
              </w:rPr>
              <w:t xml:space="preserve">Het door ether </w:t>
            </w:r>
            <w:proofErr w:type="spellStart"/>
            <w:r w:rsidRPr="00A0570B">
              <w:rPr>
                <w:sz w:val="40"/>
                <w:szCs w:val="40"/>
              </w:rPr>
              <w:t>doordrengd</w:t>
            </w:r>
            <w:proofErr w:type="spellEnd"/>
            <w:r w:rsidRPr="00A0570B">
              <w:rPr>
                <w:sz w:val="40"/>
                <w:szCs w:val="40"/>
              </w:rPr>
              <w:t xml:space="preserve"> propje papier is zeer licht ontv</w:t>
            </w:r>
            <w:r>
              <w:rPr>
                <w:sz w:val="40"/>
                <w:szCs w:val="40"/>
              </w:rPr>
              <w:t>l</w:t>
            </w:r>
            <w:r w:rsidRPr="00A0570B">
              <w:rPr>
                <w:sz w:val="40"/>
                <w:szCs w:val="40"/>
              </w:rPr>
              <w:t>ambaa</w:t>
            </w:r>
            <w:r>
              <w:rPr>
                <w:sz w:val="40"/>
                <w:szCs w:val="40"/>
              </w:rPr>
              <w:t xml:space="preserve">r. </w:t>
            </w:r>
            <w:r w:rsidRPr="00A0570B">
              <w:rPr>
                <w:sz w:val="40"/>
                <w:szCs w:val="40"/>
              </w:rPr>
              <w:t>Dit in combinatie met een lasser waa</w:t>
            </w:r>
            <w:r>
              <w:rPr>
                <w:sz w:val="40"/>
                <w:szCs w:val="40"/>
              </w:rPr>
              <w:t>r heel veel vonken alle kanten uit springen… De kans bestaat dat een vonk in contact komt met het propje papier. Brandgevaar!</w:t>
            </w:r>
          </w:p>
          <w:p w:rsidR="00A0570B" w:rsidRDefault="00A0570B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15568D" w:rsidRP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>Bij het gebruiken van corrosieve stoffen draag je altijd handschoenen.</w:t>
            </w: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Houd ontstekingsbronnen uit de buurt </w:t>
            </w:r>
          </w:p>
          <w:p w:rsidR="0015568D" w:rsidRP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>van brandbare stoffen</w:t>
            </w:r>
            <w:r w:rsidR="009070BA">
              <w:rPr>
                <w:sz w:val="40"/>
                <w:szCs w:val="40"/>
              </w:rPr>
              <w:t>.</w:t>
            </w: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0B04F4" w:rsidRDefault="000B04F4" w:rsidP="00D941D9">
            <w:pPr>
              <w:rPr>
                <w:sz w:val="40"/>
                <w:szCs w:val="40"/>
              </w:rPr>
            </w:pPr>
          </w:p>
          <w:p w:rsidR="009070BA" w:rsidRDefault="009070BA" w:rsidP="00D941D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:rsidR="009070BA" w:rsidRPr="009070BA" w:rsidRDefault="009070BA" w:rsidP="00D941D9">
            <w:pPr>
              <w:rPr>
                <w:sz w:val="40"/>
                <w:szCs w:val="40"/>
              </w:rPr>
            </w:pP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Draag steeds een gasmasker </w:t>
            </w: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als je met irriterende stoffen </w:t>
            </w:r>
          </w:p>
          <w:p w:rsidR="0015568D" w:rsidRDefault="000735FB" w:rsidP="00644C50">
            <w:pPr>
              <w:jc w:val="center"/>
            </w:pPr>
            <w:r w:rsidRPr="009070BA">
              <w:rPr>
                <w:sz w:val="40"/>
                <w:szCs w:val="40"/>
              </w:rPr>
              <w:t>in een spuitbus werkt.</w:t>
            </w: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Draag steeds een gasmasker </w:t>
            </w: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als je met giftige stoffen </w:t>
            </w:r>
          </w:p>
          <w:p w:rsidR="0015568D" w:rsidRP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>in een spuitbus werkt.</w:t>
            </w: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Stoffen die gevaarlijk zijn voor </w:t>
            </w:r>
          </w:p>
          <w:p w:rsidR="0015568D" w:rsidRP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>het milieu breng je naar de daarvoor voorziene afvalverwerkers.</w:t>
            </w: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568D" w:rsidRPr="00E76C49" w:rsidRDefault="0015568D" w:rsidP="00644C5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9070BA" w:rsidP="00644C50">
            <w:pPr>
              <w:jc w:val="center"/>
              <w:rPr>
                <w:sz w:val="40"/>
                <w:szCs w:val="40"/>
              </w:rPr>
            </w:pP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Draag steeds handschoenen </w:t>
            </w:r>
          </w:p>
          <w:p w:rsid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 xml:space="preserve">wanneer je met irriterende </w:t>
            </w:r>
          </w:p>
          <w:p w:rsidR="0015568D" w:rsidRPr="009070BA" w:rsidRDefault="000735FB" w:rsidP="00644C50">
            <w:pPr>
              <w:jc w:val="center"/>
              <w:rPr>
                <w:sz w:val="40"/>
                <w:szCs w:val="40"/>
              </w:rPr>
            </w:pPr>
            <w:r w:rsidRPr="009070BA">
              <w:rPr>
                <w:sz w:val="40"/>
                <w:szCs w:val="40"/>
              </w:rPr>
              <w:t>stoffen werkt.</w:t>
            </w:r>
          </w:p>
        </w:tc>
      </w:tr>
      <w:tr w:rsidR="0015568D" w:rsidTr="003E3743"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5568D" w:rsidRDefault="0015568D" w:rsidP="00644C50">
            <w:pPr>
              <w:jc w:val="center"/>
            </w:pPr>
          </w:p>
        </w:tc>
      </w:tr>
    </w:tbl>
    <w:p w:rsidR="003709F0" w:rsidRDefault="003709F0" w:rsidP="00644C50">
      <w:pPr>
        <w:jc w:val="center"/>
      </w:pPr>
    </w:p>
    <w:sectPr w:rsidR="003709F0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15E19"/>
    <w:rsid w:val="000735FB"/>
    <w:rsid w:val="00097810"/>
    <w:rsid w:val="000B04F4"/>
    <w:rsid w:val="000B46FB"/>
    <w:rsid w:val="000C3BCE"/>
    <w:rsid w:val="0015568D"/>
    <w:rsid w:val="00262108"/>
    <w:rsid w:val="003709F0"/>
    <w:rsid w:val="003E3743"/>
    <w:rsid w:val="0056165C"/>
    <w:rsid w:val="005F5BAC"/>
    <w:rsid w:val="005F6BD5"/>
    <w:rsid w:val="00644C50"/>
    <w:rsid w:val="006730A2"/>
    <w:rsid w:val="00682D92"/>
    <w:rsid w:val="006A6453"/>
    <w:rsid w:val="00721C73"/>
    <w:rsid w:val="0084096C"/>
    <w:rsid w:val="008849E9"/>
    <w:rsid w:val="008A2B3E"/>
    <w:rsid w:val="009070BA"/>
    <w:rsid w:val="00907DE9"/>
    <w:rsid w:val="00A0570B"/>
    <w:rsid w:val="00A45A30"/>
    <w:rsid w:val="00A6147C"/>
    <w:rsid w:val="00B17B7B"/>
    <w:rsid w:val="00C16F50"/>
    <w:rsid w:val="00D15914"/>
    <w:rsid w:val="00D5168B"/>
    <w:rsid w:val="00D941D9"/>
    <w:rsid w:val="00DC589A"/>
    <w:rsid w:val="00E00549"/>
    <w:rsid w:val="00E14381"/>
    <w:rsid w:val="00F31A3D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27</cp:revision>
  <dcterms:created xsi:type="dcterms:W3CDTF">2015-03-08T12:21:00Z</dcterms:created>
  <dcterms:modified xsi:type="dcterms:W3CDTF">2015-03-08T22:49:00Z</dcterms:modified>
</cp:coreProperties>
</file>